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52E35" w:rsidTr="00484B1C">
        <w:tc>
          <w:tcPr>
            <w:tcW w:w="4621" w:type="dxa"/>
          </w:tcPr>
          <w:p w:rsidR="00E52E35" w:rsidRPr="00A56A22" w:rsidRDefault="00E52E35" w:rsidP="006E41AC">
            <w:r w:rsidRPr="00A56A22">
              <w:t>To:</w:t>
            </w:r>
          </w:p>
          <w:p w:rsidR="00E52E35" w:rsidRPr="00A56A22" w:rsidRDefault="00E52E35" w:rsidP="00E52E35">
            <w:pPr>
              <w:rPr>
                <w:rFonts w:ascii="Calibri" w:hAnsi="Calibri"/>
              </w:rPr>
            </w:pPr>
            <w:r w:rsidRPr="00A56A22">
              <w:rPr>
                <w:rFonts w:ascii="Arial" w:hAnsi="Arial" w:cs="Arial"/>
                <w:sz w:val="22"/>
                <w:szCs w:val="22"/>
              </w:rPr>
              <w:t>Spatial Planning Team</w:t>
            </w:r>
          </w:p>
          <w:p w:rsidR="00E52E35" w:rsidRPr="00A56A22" w:rsidRDefault="00E52E35" w:rsidP="00E52E35">
            <w:pPr>
              <w:rPr>
                <w:rFonts w:ascii="Arial" w:hAnsi="Arial" w:cs="Arial"/>
                <w:sz w:val="22"/>
                <w:szCs w:val="22"/>
              </w:rPr>
            </w:pPr>
            <w:r w:rsidRPr="00A56A22">
              <w:rPr>
                <w:rFonts w:ascii="Arial" w:hAnsi="Arial" w:cs="Arial"/>
                <w:sz w:val="22"/>
                <w:szCs w:val="22"/>
              </w:rPr>
              <w:t>Planning &amp; Transportation</w:t>
            </w:r>
          </w:p>
          <w:p w:rsidR="00E52E35" w:rsidRPr="00A56A22" w:rsidRDefault="00E52E35" w:rsidP="00E52E35">
            <w:pPr>
              <w:rPr>
                <w:rFonts w:ascii="Arial" w:hAnsi="Arial" w:cs="Arial"/>
                <w:sz w:val="22"/>
                <w:szCs w:val="22"/>
              </w:rPr>
            </w:pPr>
            <w:r w:rsidRPr="00A56A22">
              <w:rPr>
                <w:rFonts w:ascii="Arial" w:hAnsi="Arial" w:cs="Arial"/>
                <w:sz w:val="22"/>
                <w:szCs w:val="22"/>
              </w:rPr>
              <w:t>Place Department</w:t>
            </w:r>
          </w:p>
          <w:p w:rsidR="00E52E35" w:rsidRPr="00A56A22" w:rsidRDefault="00E52E35" w:rsidP="00E52E35">
            <w:pPr>
              <w:rPr>
                <w:rFonts w:ascii="Arial" w:hAnsi="Arial" w:cs="Arial"/>
                <w:sz w:val="22"/>
                <w:szCs w:val="22"/>
              </w:rPr>
            </w:pPr>
            <w:r w:rsidRPr="00A56A22">
              <w:rPr>
                <w:rFonts w:ascii="Arial" w:hAnsi="Arial" w:cs="Arial"/>
                <w:sz w:val="22"/>
                <w:szCs w:val="22"/>
              </w:rPr>
              <w:t>6</w:t>
            </w:r>
            <w:r w:rsidRPr="00A56A22">
              <w:rPr>
                <w:rFonts w:ascii="Arial" w:hAnsi="Arial" w:cs="Arial"/>
                <w:sz w:val="22"/>
                <w:szCs w:val="22"/>
                <w:vertAlign w:val="superscript"/>
              </w:rPr>
              <w:t>th</w:t>
            </w:r>
            <w:r w:rsidRPr="00A56A22">
              <w:rPr>
                <w:rFonts w:ascii="Arial" w:hAnsi="Arial" w:cs="Arial"/>
                <w:sz w:val="22"/>
                <w:szCs w:val="22"/>
              </w:rPr>
              <w:t xml:space="preserve"> Floor Zone B</w:t>
            </w:r>
          </w:p>
          <w:p w:rsidR="00E52E35" w:rsidRPr="00A56A22" w:rsidRDefault="00E52E35" w:rsidP="00E52E35">
            <w:pPr>
              <w:rPr>
                <w:sz w:val="22"/>
                <w:szCs w:val="22"/>
              </w:rPr>
            </w:pPr>
            <w:r w:rsidRPr="00A56A22">
              <w:rPr>
                <w:rFonts w:ascii="Arial" w:hAnsi="Arial" w:cs="Arial"/>
                <w:sz w:val="22"/>
                <w:szCs w:val="22"/>
              </w:rPr>
              <w:t>Bernard Weatherill House</w:t>
            </w:r>
          </w:p>
          <w:p w:rsidR="00E52E35" w:rsidRPr="00A56A22" w:rsidRDefault="00E52E35" w:rsidP="00E52E35">
            <w:pPr>
              <w:rPr>
                <w:rFonts w:ascii="Calibri" w:hAnsi="Calibri"/>
                <w:sz w:val="22"/>
                <w:szCs w:val="22"/>
              </w:rPr>
            </w:pPr>
            <w:r w:rsidRPr="00A56A22">
              <w:rPr>
                <w:rFonts w:ascii="Arial" w:hAnsi="Arial" w:cs="Arial"/>
                <w:sz w:val="22"/>
                <w:szCs w:val="22"/>
              </w:rPr>
              <w:t xml:space="preserve">8 Mint Walk </w:t>
            </w:r>
          </w:p>
          <w:p w:rsidR="00E52E35" w:rsidRPr="00A56A22" w:rsidRDefault="00E52E35" w:rsidP="00E52E35">
            <w:pPr>
              <w:rPr>
                <w:rFonts w:ascii="Calibri" w:hAnsi="Calibri"/>
                <w:sz w:val="22"/>
                <w:szCs w:val="22"/>
              </w:rPr>
            </w:pPr>
            <w:r w:rsidRPr="00A56A22">
              <w:rPr>
                <w:rFonts w:ascii="Arial" w:hAnsi="Arial" w:cs="Arial"/>
                <w:sz w:val="22"/>
                <w:szCs w:val="22"/>
              </w:rPr>
              <w:t>Croydon CR0 1EA</w:t>
            </w:r>
          </w:p>
          <w:p w:rsidR="00E52E35" w:rsidRPr="00A56A22" w:rsidRDefault="00E52E35" w:rsidP="00E52E35">
            <w:pPr>
              <w:rPr>
                <w:rFonts w:ascii="Calibri" w:hAnsi="Calibri"/>
                <w:sz w:val="22"/>
                <w:szCs w:val="22"/>
              </w:rPr>
            </w:pPr>
            <w:r w:rsidRPr="00A56A22">
              <w:rPr>
                <w:rFonts w:ascii="Calibri" w:hAnsi="Calibri"/>
                <w:sz w:val="22"/>
                <w:szCs w:val="22"/>
              </w:rPr>
              <w:t> </w:t>
            </w:r>
          </w:p>
          <w:p w:rsidR="00E52E35" w:rsidRPr="00A56A22" w:rsidRDefault="00E52E35" w:rsidP="00E52E35">
            <w:pPr>
              <w:rPr>
                <w:rFonts w:ascii="Calibri" w:hAnsi="Calibri"/>
                <w:sz w:val="22"/>
                <w:szCs w:val="22"/>
              </w:rPr>
            </w:pPr>
            <w:r w:rsidRPr="00A56A22">
              <w:rPr>
                <w:rFonts w:ascii="Arial" w:hAnsi="Arial" w:cs="Arial"/>
                <w:sz w:val="22"/>
                <w:szCs w:val="22"/>
              </w:rPr>
              <w:t>Tel: 020 8726 6000 Ext: 61385</w:t>
            </w:r>
          </w:p>
          <w:p w:rsidR="00E52E35" w:rsidRPr="00A56A22" w:rsidRDefault="00E52E35" w:rsidP="00E52E35">
            <w:pPr>
              <w:rPr>
                <w:rFonts w:ascii="Arial" w:hAnsi="Arial" w:cs="Arial"/>
                <w:sz w:val="22"/>
                <w:szCs w:val="22"/>
              </w:rPr>
            </w:pPr>
            <w:proofErr w:type="spellStart"/>
            <w:r w:rsidRPr="00A56A22">
              <w:rPr>
                <w:rFonts w:ascii="Arial" w:hAnsi="Arial" w:cs="Arial"/>
                <w:sz w:val="22"/>
                <w:szCs w:val="22"/>
              </w:rPr>
              <w:t>Minicom</w:t>
            </w:r>
            <w:proofErr w:type="spellEnd"/>
            <w:r w:rsidRPr="00A56A22">
              <w:rPr>
                <w:rFonts w:ascii="Arial" w:hAnsi="Arial" w:cs="Arial"/>
                <w:sz w:val="22"/>
                <w:szCs w:val="22"/>
              </w:rPr>
              <w:t>: 020 8760 5787 </w:t>
            </w:r>
          </w:p>
          <w:p w:rsidR="00E52E35" w:rsidRDefault="00E52E35" w:rsidP="00E52E35">
            <w:pPr>
              <w:rPr>
                <w:rFonts w:ascii="Arial" w:hAnsi="Arial" w:cs="Arial"/>
                <w:color w:val="1F497D"/>
                <w:sz w:val="22"/>
                <w:szCs w:val="22"/>
              </w:rPr>
            </w:pPr>
            <w:r w:rsidRPr="00A56A22">
              <w:rPr>
                <w:rFonts w:ascii="Arial" w:hAnsi="Arial" w:cs="Arial"/>
                <w:sz w:val="22"/>
                <w:szCs w:val="22"/>
              </w:rPr>
              <w:t xml:space="preserve">Email: </w:t>
            </w:r>
            <w:hyperlink r:id="rId7" w:history="1">
              <w:r w:rsidRPr="00631D25">
                <w:rPr>
                  <w:rStyle w:val="Hyperlink"/>
                  <w:rFonts w:ascii="Arial" w:hAnsi="Arial" w:cs="Arial"/>
                  <w:sz w:val="22"/>
                  <w:szCs w:val="22"/>
                </w:rPr>
                <w:t>ldf@croydon.gov.uk</w:t>
              </w:r>
            </w:hyperlink>
          </w:p>
          <w:p w:rsidR="00E52E35" w:rsidRDefault="00E52E35" w:rsidP="00E52E35"/>
        </w:tc>
        <w:tc>
          <w:tcPr>
            <w:tcW w:w="4621" w:type="dxa"/>
          </w:tcPr>
          <w:p w:rsidR="00E52E35" w:rsidRDefault="00AB5288" w:rsidP="00AB5288">
            <w:pPr>
              <w:rPr>
                <w:rFonts w:ascii="Arial" w:hAnsi="Arial" w:cs="Arial"/>
                <w:sz w:val="22"/>
                <w:szCs w:val="22"/>
              </w:rPr>
            </w:pPr>
            <w:r w:rsidRPr="00AB5288">
              <w:rPr>
                <w:rFonts w:ascii="Arial" w:hAnsi="Arial" w:cs="Arial"/>
                <w:sz w:val="22"/>
                <w:szCs w:val="22"/>
              </w:rPr>
              <w:t>From</w:t>
            </w:r>
            <w:r>
              <w:rPr>
                <w:rFonts w:ascii="Arial" w:hAnsi="Arial" w:cs="Arial"/>
                <w:sz w:val="22"/>
                <w:szCs w:val="22"/>
              </w:rPr>
              <w:t>:</w:t>
            </w: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Default="00BD5E48" w:rsidP="00AB5288">
            <w:pPr>
              <w:rPr>
                <w:rFonts w:ascii="Arial" w:hAnsi="Arial" w:cs="Arial"/>
                <w:sz w:val="22"/>
                <w:szCs w:val="22"/>
              </w:rPr>
            </w:pPr>
          </w:p>
          <w:p w:rsidR="00BD5E48" w:rsidRPr="00AB5288" w:rsidRDefault="00BD5E48" w:rsidP="00AB5288">
            <w:pPr>
              <w:rPr>
                <w:rFonts w:ascii="Arial" w:hAnsi="Arial" w:cs="Arial"/>
                <w:sz w:val="22"/>
                <w:szCs w:val="22"/>
              </w:rPr>
            </w:pPr>
            <w:r>
              <w:rPr>
                <w:rFonts w:ascii="Arial" w:hAnsi="Arial" w:cs="Arial"/>
                <w:sz w:val="22"/>
                <w:szCs w:val="22"/>
              </w:rPr>
              <w:t>Date:</w:t>
            </w:r>
          </w:p>
        </w:tc>
      </w:tr>
    </w:tbl>
    <w:p w:rsidR="00F4611D" w:rsidRDefault="00F4611D"/>
    <w:p w:rsidR="00273309" w:rsidRPr="00273309" w:rsidRDefault="00273309" w:rsidP="00273309">
      <w:pPr>
        <w:rPr>
          <w:rFonts w:ascii="Tahoma" w:eastAsia="Times New Roman" w:hAnsi="Tahoma" w:cs="Tahoma"/>
          <w:color w:val="000000"/>
          <w:sz w:val="22"/>
          <w:szCs w:val="22"/>
          <w:lang w:eastAsia="en-US"/>
        </w:rPr>
      </w:pPr>
      <w:r w:rsidRPr="003657C5">
        <w:rPr>
          <w:rFonts w:ascii="Tahoma" w:eastAsia="Times New Roman" w:hAnsi="Tahoma" w:cs="Tahoma"/>
          <w:b/>
          <w:bCs/>
          <w:color w:val="000000"/>
          <w:sz w:val="22"/>
          <w:szCs w:val="22"/>
          <w:u w:val="single"/>
          <w:lang w:eastAsia="en-US"/>
        </w:rPr>
        <w:t>Ref: Consultation on Croydon Local Plan: Strategic Policies – Partial Review (Preferred and Alternative Options) and the Croydon Local Plan: Detailed Policies and Proposals (Preferred and Alternative Options)</w:t>
      </w:r>
    </w:p>
    <w:p w:rsidR="00273309" w:rsidRPr="003657C5" w:rsidRDefault="00273309" w:rsidP="00273309">
      <w:pPr>
        <w:rPr>
          <w:rFonts w:ascii="Tahoma" w:eastAsia="Times New Roman" w:hAnsi="Tahoma" w:cs="Tahoma"/>
          <w:color w:val="000000"/>
          <w:sz w:val="22"/>
          <w:szCs w:val="22"/>
          <w:lang w:eastAsia="en-US"/>
        </w:rPr>
      </w:pPr>
    </w:p>
    <w:p w:rsidR="00273309" w:rsidRPr="003657C5" w:rsidRDefault="00273309" w:rsidP="00273309">
      <w:pPr>
        <w:rPr>
          <w:rFonts w:ascii="Tahoma" w:eastAsia="Times New Roman" w:hAnsi="Tahoma" w:cs="Tahoma"/>
          <w:color w:val="000000"/>
          <w:sz w:val="22"/>
          <w:szCs w:val="22"/>
          <w:lang w:eastAsia="en-US"/>
        </w:rPr>
      </w:pPr>
      <w:r w:rsidRPr="003657C5">
        <w:rPr>
          <w:rFonts w:ascii="Tahoma" w:eastAsia="Times New Roman" w:hAnsi="Tahoma" w:cs="Tahoma"/>
          <w:color w:val="000000"/>
          <w:sz w:val="22"/>
          <w:szCs w:val="22"/>
          <w:lang w:eastAsia="en-US"/>
        </w:rPr>
        <w:t>Dear Sir/Madam</w:t>
      </w:r>
    </w:p>
    <w:p w:rsidR="00273309" w:rsidRPr="003657C5" w:rsidRDefault="00273309" w:rsidP="00273309">
      <w:pPr>
        <w:rPr>
          <w:rFonts w:ascii="Tahoma" w:eastAsia="Times New Roman" w:hAnsi="Tahoma" w:cs="Tahoma"/>
          <w:color w:val="000000"/>
          <w:sz w:val="22"/>
          <w:szCs w:val="22"/>
          <w:lang w:eastAsia="en-US"/>
        </w:rPr>
      </w:pPr>
    </w:p>
    <w:p w:rsidR="00273309" w:rsidRPr="003657C5" w:rsidRDefault="00273309" w:rsidP="00273309">
      <w:pPr>
        <w:rPr>
          <w:rFonts w:ascii="Tahoma" w:eastAsia="Times New Roman" w:hAnsi="Tahoma" w:cs="Tahoma"/>
          <w:color w:val="000000"/>
          <w:sz w:val="22"/>
          <w:szCs w:val="22"/>
          <w:lang w:eastAsia="en-US"/>
        </w:rPr>
      </w:pPr>
      <w:r w:rsidRPr="003657C5">
        <w:rPr>
          <w:rFonts w:ascii="Tahoma" w:eastAsia="Times New Roman" w:hAnsi="Tahoma" w:cs="Tahoma"/>
          <w:color w:val="000000"/>
          <w:sz w:val="22"/>
          <w:szCs w:val="22"/>
          <w:lang w:eastAsia="en-US"/>
        </w:rPr>
        <w:t>As a local affected resident, I would like to register my comments and objection to the proposals as documented in the Croydon Local Plans CLP1.1 and CLP2</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b/>
          <w:bCs/>
          <w:color w:val="000000"/>
          <w:sz w:val="22"/>
          <w:szCs w:val="22"/>
          <w:lang w:eastAsia="en-US"/>
        </w:rPr>
        <w:t>1</w:t>
      </w:r>
      <w:r w:rsidRPr="00273309">
        <w:rPr>
          <w:rFonts w:ascii="Tahoma" w:eastAsia="Times New Roman" w:hAnsi="Tahoma" w:cs="Tahoma"/>
          <w:color w:val="000000"/>
          <w:sz w:val="22"/>
          <w:szCs w:val="22"/>
          <w:lang w:eastAsia="en-US"/>
        </w:rPr>
        <w:t> </w:t>
      </w:r>
      <w:r w:rsidR="003657C5" w:rsidRPr="003657C5">
        <w:rPr>
          <w:rFonts w:ascii="Tahoma" w:eastAsia="Times New Roman" w:hAnsi="Tahoma" w:cs="Tahoma"/>
          <w:color w:val="000000"/>
          <w:sz w:val="22"/>
          <w:szCs w:val="22"/>
          <w:lang w:eastAsia="en-US"/>
        </w:rPr>
        <w:tab/>
      </w:r>
      <w:r w:rsidRPr="00273309">
        <w:rPr>
          <w:rFonts w:ascii="Tahoma" w:eastAsia="Times New Roman" w:hAnsi="Tahoma" w:cs="Tahoma"/>
          <w:b/>
          <w:bCs/>
          <w:color w:val="000000"/>
          <w:sz w:val="22"/>
          <w:szCs w:val="22"/>
          <w:u w:val="single"/>
          <w:lang w:eastAsia="en-US"/>
        </w:rPr>
        <w:t>Proposed Policy</w:t>
      </w:r>
      <w:r w:rsidRPr="003657C5">
        <w:rPr>
          <w:rFonts w:ascii="Tahoma" w:eastAsia="Times New Roman" w:hAnsi="Tahoma" w:cs="Tahoma"/>
          <w:b/>
          <w:bCs/>
          <w:color w:val="000000"/>
          <w:sz w:val="22"/>
          <w:szCs w:val="22"/>
          <w:u w:val="single"/>
          <w:lang w:eastAsia="en-US"/>
        </w:rPr>
        <w:t> </w:t>
      </w:r>
      <w:r w:rsidRPr="00273309">
        <w:rPr>
          <w:rFonts w:ascii="Tahoma" w:eastAsia="Times New Roman" w:hAnsi="Tahoma" w:cs="Tahoma"/>
          <w:b/>
          <w:bCs/>
          <w:color w:val="000000"/>
          <w:sz w:val="22"/>
          <w:szCs w:val="22"/>
          <w:u w:val="single"/>
          <w:lang w:eastAsia="en-US"/>
        </w:rPr>
        <w:t xml:space="preserve">DM31.4  Focussed Intensification Associated with Gradual Change of the Local Area around Shirley Local Centre, including Wickham </w:t>
      </w:r>
      <w:r w:rsidRPr="003657C5">
        <w:rPr>
          <w:rFonts w:ascii="Tahoma" w:eastAsia="Times New Roman" w:hAnsi="Tahoma" w:cs="Tahoma"/>
          <w:b/>
          <w:bCs/>
          <w:color w:val="000000"/>
          <w:sz w:val="22"/>
          <w:szCs w:val="22"/>
          <w:u w:val="single"/>
          <w:lang w:eastAsia="en-US"/>
        </w:rPr>
        <w:t xml:space="preserve">Avenue and </w:t>
      </w:r>
      <w:r w:rsidRPr="00273309">
        <w:rPr>
          <w:rFonts w:ascii="Tahoma" w:eastAsia="Times New Roman" w:hAnsi="Tahoma" w:cs="Tahoma"/>
          <w:b/>
          <w:bCs/>
          <w:color w:val="000000"/>
          <w:sz w:val="22"/>
          <w:szCs w:val="22"/>
          <w:u w:val="single"/>
          <w:lang w:eastAsia="en-US"/>
        </w:rPr>
        <w:t xml:space="preserve"> </w:t>
      </w:r>
      <w:proofErr w:type="spellStart"/>
      <w:r w:rsidRPr="00273309">
        <w:rPr>
          <w:rFonts w:ascii="Tahoma" w:eastAsia="Times New Roman" w:hAnsi="Tahoma" w:cs="Tahoma"/>
          <w:b/>
          <w:bCs/>
          <w:color w:val="000000"/>
          <w:sz w:val="22"/>
          <w:szCs w:val="22"/>
          <w:u w:val="single"/>
          <w:lang w:eastAsia="en-US"/>
        </w:rPr>
        <w:t>and</w:t>
      </w:r>
      <w:proofErr w:type="spellEnd"/>
      <w:r w:rsidRPr="00273309">
        <w:rPr>
          <w:rFonts w:ascii="Tahoma" w:eastAsia="Times New Roman" w:hAnsi="Tahoma" w:cs="Tahoma"/>
          <w:b/>
          <w:bCs/>
          <w:color w:val="000000"/>
          <w:sz w:val="22"/>
          <w:szCs w:val="22"/>
          <w:u w:val="single"/>
          <w:lang w:eastAsia="en-US"/>
        </w:rPr>
        <w:t> Ridgemount Avenue</w:t>
      </w:r>
      <w:r w:rsidR="00785769">
        <w:rPr>
          <w:rFonts w:ascii="Tahoma" w:eastAsia="Times New Roman" w:hAnsi="Tahoma" w:cs="Tahoma"/>
          <w:b/>
          <w:bCs/>
          <w:color w:val="000000"/>
          <w:sz w:val="22"/>
          <w:szCs w:val="22"/>
          <w:u w:val="single"/>
          <w:lang w:eastAsia="en-US"/>
        </w:rPr>
        <w:t>.</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object to the relaxation of the planning regulations to allow the building of significantly larger structures in close proximity to the existing housing stock, comprising mainly bungalows and two storey semi-detached houses in residential roads in the area described as</w:t>
      </w:r>
      <w:r w:rsidRPr="003657C5">
        <w:rPr>
          <w:rFonts w:ascii="Tahoma" w:eastAsia="Times New Roman" w:hAnsi="Tahoma" w:cs="Tahoma"/>
          <w:color w:val="000000"/>
          <w:sz w:val="22"/>
          <w:szCs w:val="22"/>
          <w:lang w:eastAsia="en-US"/>
        </w:rPr>
        <w:t> </w:t>
      </w:r>
      <w:r w:rsidRPr="00273309">
        <w:rPr>
          <w:rFonts w:ascii="Tahoma" w:eastAsia="Times New Roman" w:hAnsi="Tahoma" w:cs="Tahoma"/>
          <w:b/>
          <w:bCs/>
          <w:color w:val="000000"/>
          <w:sz w:val="22"/>
          <w:szCs w:val="22"/>
          <w:lang w:eastAsia="en-US"/>
        </w:rPr>
        <w:t>Shirley Local Centre, i.e. around the Shirley Library</w:t>
      </w:r>
      <w:r w:rsidRPr="00273309">
        <w:rPr>
          <w:rFonts w:ascii="Tahoma" w:eastAsia="Times New Roman" w:hAnsi="Tahoma" w:cs="Tahoma"/>
          <w:color w:val="000000"/>
          <w:sz w:val="22"/>
          <w:szCs w:val="22"/>
          <w:lang w:eastAsia="en-US"/>
        </w:rPr>
        <w:t>.  The promoted character types of: Medium rise blocks with associated grounds; Large buildings with spacing; and Large buildings with strong frontages; in this location would look out of character and is unacceptable.  These types of developments in the wrong locations would adversely affect the character of Shirley both now and for future generations.</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For the reasons given above:</w:t>
      </w:r>
    </w:p>
    <w:p w:rsidR="00273309" w:rsidRPr="00273309" w:rsidRDefault="00273309"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that the preferred approach is the most appropriate for Croydon to help us meet our Strategic Objectives set out in Section 3.</w:t>
      </w:r>
    </w:p>
    <w:p w:rsidR="00273309" w:rsidRPr="00273309" w:rsidRDefault="00273309"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preferred approach is deliverable, but not acceptable.</w:t>
      </w:r>
    </w:p>
    <w:p w:rsidR="00273309" w:rsidRPr="003657C5" w:rsidRDefault="00273309"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do not think the preferred approach enables sustainable development, because it will compromise the ability </w:t>
      </w:r>
      <w:r w:rsidR="00FE6283" w:rsidRPr="003657C5">
        <w:rPr>
          <w:rFonts w:ascii="Tahoma" w:eastAsia="Times New Roman" w:hAnsi="Tahoma" w:cs="Tahoma"/>
          <w:color w:val="000000"/>
          <w:sz w:val="22"/>
          <w:szCs w:val="22"/>
          <w:lang w:eastAsia="en-US"/>
        </w:rPr>
        <w:t xml:space="preserve">to meet the needs </w:t>
      </w:r>
      <w:r w:rsidRPr="00273309">
        <w:rPr>
          <w:rFonts w:ascii="Tahoma" w:eastAsia="Times New Roman" w:hAnsi="Tahoma" w:cs="Tahoma"/>
          <w:color w:val="000000"/>
          <w:sz w:val="22"/>
          <w:szCs w:val="22"/>
          <w:lang w:eastAsia="en-US"/>
        </w:rPr>
        <w:t>of future generations</w:t>
      </w:r>
      <w:r w:rsidR="00FE6283" w:rsidRPr="003657C5">
        <w:rPr>
          <w:rFonts w:ascii="Tahoma" w:eastAsia="Times New Roman" w:hAnsi="Tahoma" w:cs="Tahoma"/>
          <w:color w:val="000000"/>
          <w:sz w:val="22"/>
          <w:szCs w:val="22"/>
          <w:lang w:eastAsia="en-US"/>
        </w:rPr>
        <w:t>.</w:t>
      </w:r>
    </w:p>
    <w:p w:rsidR="00FE6283" w:rsidRPr="003657C5" w:rsidRDefault="00FE6283"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3657C5">
        <w:rPr>
          <w:rFonts w:ascii="Tahoma" w:eastAsia="Times New Roman" w:hAnsi="Tahoma" w:cs="Tahoma"/>
          <w:color w:val="000000"/>
          <w:sz w:val="22"/>
          <w:szCs w:val="22"/>
          <w:lang w:eastAsia="en-US"/>
        </w:rPr>
        <w:t>If High density residential accommodation were provided there would be insufficient area for communal open space allocation.</w:t>
      </w:r>
    </w:p>
    <w:p w:rsidR="00FE6283" w:rsidRPr="003657C5" w:rsidRDefault="00FE6283"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3657C5">
        <w:rPr>
          <w:rFonts w:ascii="Tahoma" w:eastAsia="Times New Roman" w:hAnsi="Tahoma" w:cs="Tahoma"/>
          <w:color w:val="000000"/>
          <w:sz w:val="22"/>
          <w:szCs w:val="22"/>
          <w:lang w:eastAsia="en-US"/>
        </w:rPr>
        <w:t xml:space="preserve">The </w:t>
      </w:r>
      <w:r w:rsidR="003657C5" w:rsidRPr="003657C5">
        <w:rPr>
          <w:rFonts w:ascii="Tahoma" w:eastAsia="Times New Roman" w:hAnsi="Tahoma" w:cs="Tahoma"/>
          <w:color w:val="000000"/>
          <w:sz w:val="22"/>
          <w:szCs w:val="22"/>
          <w:lang w:eastAsia="en-US"/>
        </w:rPr>
        <w:t xml:space="preserve">local </w:t>
      </w:r>
      <w:r w:rsidRPr="003657C5">
        <w:rPr>
          <w:rFonts w:ascii="Tahoma" w:eastAsia="Times New Roman" w:hAnsi="Tahoma" w:cs="Tahoma"/>
          <w:color w:val="000000"/>
          <w:sz w:val="22"/>
          <w:szCs w:val="22"/>
          <w:lang w:eastAsia="en-US"/>
        </w:rPr>
        <w:t xml:space="preserve">road network </w:t>
      </w:r>
      <w:r w:rsidR="003657C5" w:rsidRPr="003657C5">
        <w:rPr>
          <w:rFonts w:ascii="Tahoma" w:eastAsia="Times New Roman" w:hAnsi="Tahoma" w:cs="Tahoma"/>
          <w:color w:val="000000"/>
          <w:sz w:val="22"/>
          <w:szCs w:val="22"/>
          <w:lang w:eastAsia="en-US"/>
        </w:rPr>
        <w:t xml:space="preserve">and width </w:t>
      </w:r>
      <w:r w:rsidRPr="003657C5">
        <w:rPr>
          <w:rFonts w:ascii="Tahoma" w:eastAsia="Times New Roman" w:hAnsi="Tahoma" w:cs="Tahoma"/>
          <w:color w:val="000000"/>
          <w:sz w:val="22"/>
          <w:szCs w:val="22"/>
          <w:lang w:eastAsia="en-US"/>
        </w:rPr>
        <w:t xml:space="preserve">could not cope </w:t>
      </w:r>
      <w:proofErr w:type="gramStart"/>
      <w:r w:rsidRPr="003657C5">
        <w:rPr>
          <w:rFonts w:ascii="Tahoma" w:eastAsia="Times New Roman" w:hAnsi="Tahoma" w:cs="Tahoma"/>
          <w:color w:val="000000"/>
          <w:sz w:val="22"/>
          <w:szCs w:val="22"/>
          <w:lang w:eastAsia="en-US"/>
        </w:rPr>
        <w:t>with  high</w:t>
      </w:r>
      <w:proofErr w:type="gramEnd"/>
      <w:r w:rsidRPr="003657C5">
        <w:rPr>
          <w:rFonts w:ascii="Tahoma" w:eastAsia="Times New Roman" w:hAnsi="Tahoma" w:cs="Tahoma"/>
          <w:color w:val="000000"/>
          <w:sz w:val="22"/>
          <w:szCs w:val="22"/>
          <w:lang w:eastAsia="en-US"/>
        </w:rPr>
        <w:t xml:space="preserve"> residential density proposal and the likely car ownership</w:t>
      </w:r>
      <w:r w:rsidR="00BD5E48">
        <w:rPr>
          <w:rFonts w:ascii="Tahoma" w:eastAsia="Times New Roman" w:hAnsi="Tahoma" w:cs="Tahoma"/>
          <w:color w:val="000000"/>
          <w:sz w:val="22"/>
          <w:szCs w:val="22"/>
          <w:lang w:eastAsia="en-US"/>
        </w:rPr>
        <w:t xml:space="preserve"> and on street parking.</w:t>
      </w:r>
      <w:r w:rsidRPr="003657C5">
        <w:rPr>
          <w:rFonts w:ascii="Tahoma" w:eastAsia="Times New Roman" w:hAnsi="Tahoma" w:cs="Tahoma"/>
          <w:color w:val="000000"/>
          <w:sz w:val="22"/>
          <w:szCs w:val="22"/>
          <w:lang w:eastAsia="en-US"/>
        </w:rPr>
        <w:t xml:space="preserve"> </w:t>
      </w:r>
    </w:p>
    <w:p w:rsidR="00FE6283" w:rsidRPr="00273309" w:rsidRDefault="00FE6283" w:rsidP="003657C5">
      <w:pPr>
        <w:numPr>
          <w:ilvl w:val="0"/>
          <w:numId w:val="1"/>
        </w:numPr>
        <w:spacing w:before="100" w:beforeAutospacing="1" w:after="100" w:afterAutospacing="1"/>
        <w:rPr>
          <w:rFonts w:ascii="Tahoma" w:eastAsia="Times New Roman" w:hAnsi="Tahoma" w:cs="Tahoma"/>
          <w:color w:val="000000"/>
          <w:sz w:val="22"/>
          <w:szCs w:val="22"/>
          <w:lang w:eastAsia="en-US"/>
        </w:rPr>
      </w:pPr>
      <w:r w:rsidRPr="003657C5">
        <w:rPr>
          <w:rFonts w:ascii="Tahoma" w:eastAsia="Times New Roman" w:hAnsi="Tahoma" w:cs="Tahoma"/>
          <w:color w:val="000000"/>
          <w:sz w:val="22"/>
          <w:szCs w:val="22"/>
          <w:lang w:eastAsia="en-US"/>
        </w:rPr>
        <w:t xml:space="preserve">If these proposals were to become the Croydon Plan adopted policy, it would place Planning blight on all properties as defined in DM31.4. </w:t>
      </w:r>
      <w:proofErr w:type="gramStart"/>
      <w:r w:rsidRPr="003657C5">
        <w:rPr>
          <w:rFonts w:ascii="Tahoma" w:eastAsia="Times New Roman" w:hAnsi="Tahoma" w:cs="Tahoma"/>
          <w:color w:val="000000"/>
          <w:sz w:val="22"/>
          <w:szCs w:val="22"/>
          <w:lang w:eastAsia="en-US"/>
        </w:rPr>
        <w:t>until</w:t>
      </w:r>
      <w:proofErr w:type="gramEnd"/>
      <w:r w:rsidRPr="003657C5">
        <w:rPr>
          <w:rFonts w:ascii="Tahoma" w:eastAsia="Times New Roman" w:hAnsi="Tahoma" w:cs="Tahoma"/>
          <w:color w:val="000000"/>
          <w:sz w:val="22"/>
          <w:szCs w:val="22"/>
          <w:lang w:eastAsia="en-US"/>
        </w:rPr>
        <w:t xml:space="preserve"> the year 2036</w:t>
      </w:r>
      <w:r w:rsidR="00BD5E48">
        <w:rPr>
          <w:rFonts w:ascii="Tahoma" w:eastAsia="Times New Roman" w:hAnsi="Tahoma" w:cs="Tahoma"/>
          <w:color w:val="000000"/>
          <w:sz w:val="22"/>
          <w:szCs w:val="22"/>
          <w:lang w:eastAsia="en-US"/>
        </w:rPr>
        <w:t>.</w:t>
      </w:r>
    </w:p>
    <w:p w:rsidR="00273309" w:rsidRPr="00273309" w:rsidRDefault="00273309" w:rsidP="00273309">
      <w:pPr>
        <w:numPr>
          <w:ilvl w:val="0"/>
          <w:numId w:val="1"/>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recommend that consultation documents of such importance are given much wider publicity.</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object to the development plans for the</w:t>
      </w:r>
      <w:r w:rsidRPr="003657C5">
        <w:rPr>
          <w:rFonts w:ascii="Tahoma" w:eastAsia="Times New Roman" w:hAnsi="Tahoma" w:cs="Tahoma"/>
          <w:color w:val="000000"/>
          <w:sz w:val="22"/>
          <w:szCs w:val="22"/>
          <w:lang w:eastAsia="en-US"/>
        </w:rPr>
        <w:t> </w:t>
      </w:r>
      <w:r w:rsidRPr="00273309">
        <w:rPr>
          <w:rFonts w:ascii="Tahoma" w:eastAsia="Times New Roman" w:hAnsi="Tahoma" w:cs="Tahoma"/>
          <w:b/>
          <w:bCs/>
          <w:color w:val="000000"/>
          <w:sz w:val="22"/>
          <w:szCs w:val="22"/>
          <w:lang w:eastAsia="en-US"/>
        </w:rPr>
        <w:t>Shirley Road Shopping Parade</w:t>
      </w:r>
      <w:r w:rsidRPr="003657C5">
        <w:rPr>
          <w:rFonts w:ascii="Tahoma" w:eastAsia="Times New Roman" w:hAnsi="Tahoma" w:cs="Tahoma"/>
          <w:color w:val="000000"/>
          <w:sz w:val="22"/>
          <w:szCs w:val="22"/>
          <w:lang w:eastAsia="en-US"/>
        </w:rPr>
        <w:t> </w:t>
      </w:r>
      <w:r w:rsidRPr="00273309">
        <w:rPr>
          <w:rFonts w:ascii="Tahoma" w:eastAsia="Times New Roman" w:hAnsi="Tahoma" w:cs="Tahoma"/>
          <w:color w:val="000000"/>
          <w:sz w:val="22"/>
          <w:szCs w:val="22"/>
          <w:lang w:eastAsia="en-US"/>
        </w:rPr>
        <w:t xml:space="preserve">provided that </w:t>
      </w:r>
      <w:r w:rsidR="00484B1C">
        <w:rPr>
          <w:rFonts w:ascii="Tahoma" w:eastAsia="Times New Roman" w:hAnsi="Tahoma" w:cs="Tahoma"/>
          <w:color w:val="000000"/>
          <w:sz w:val="22"/>
          <w:szCs w:val="22"/>
          <w:lang w:eastAsia="en-US"/>
        </w:rPr>
        <w:t>any expansion is along the A232 and does not affect the existing residential areas.</w:t>
      </w:r>
    </w:p>
    <w:p w:rsidR="00273309" w:rsidRPr="00273309" w:rsidRDefault="00273309" w:rsidP="00273309">
      <w:pPr>
        <w:rPr>
          <w:rFonts w:eastAsia="Times New Roman"/>
          <w:color w:val="000000"/>
          <w:szCs w:val="20"/>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b/>
          <w:bCs/>
          <w:color w:val="000000"/>
          <w:sz w:val="22"/>
          <w:szCs w:val="22"/>
          <w:lang w:eastAsia="en-US"/>
        </w:rPr>
        <w:lastRenderedPageBreak/>
        <w:t>2</w:t>
      </w:r>
      <w:r w:rsidRPr="00273309">
        <w:rPr>
          <w:rFonts w:ascii="Tahoma" w:eastAsia="Times New Roman" w:hAnsi="Tahoma" w:cs="Tahoma"/>
          <w:color w:val="000000"/>
          <w:sz w:val="22"/>
          <w:szCs w:val="22"/>
          <w:lang w:eastAsia="en-US"/>
        </w:rPr>
        <w:t> </w:t>
      </w:r>
      <w:r w:rsidR="00785769">
        <w:rPr>
          <w:rFonts w:ascii="Tahoma" w:eastAsia="Times New Roman" w:hAnsi="Tahoma" w:cs="Tahoma"/>
          <w:color w:val="000000"/>
          <w:sz w:val="22"/>
          <w:szCs w:val="22"/>
          <w:lang w:eastAsia="en-US"/>
        </w:rPr>
        <w:tab/>
      </w:r>
      <w:r w:rsidRPr="00273309">
        <w:rPr>
          <w:rFonts w:ascii="Tahoma" w:eastAsia="Times New Roman" w:hAnsi="Tahoma" w:cs="Tahoma"/>
          <w:b/>
          <w:bCs/>
          <w:color w:val="000000"/>
          <w:sz w:val="22"/>
          <w:szCs w:val="22"/>
          <w:u w:val="single"/>
          <w:lang w:eastAsia="en-US"/>
        </w:rPr>
        <w:t xml:space="preserve">Proposed Policy </w:t>
      </w:r>
      <w:proofErr w:type="gramStart"/>
      <w:r w:rsidRPr="00273309">
        <w:rPr>
          <w:rFonts w:ascii="Tahoma" w:eastAsia="Times New Roman" w:hAnsi="Tahoma" w:cs="Tahoma"/>
          <w:b/>
          <w:bCs/>
          <w:color w:val="000000"/>
          <w:sz w:val="22"/>
          <w:szCs w:val="22"/>
          <w:u w:val="single"/>
          <w:lang w:eastAsia="en-US"/>
        </w:rPr>
        <w:t>DM2  Development</w:t>
      </w:r>
      <w:proofErr w:type="gramEnd"/>
      <w:r w:rsidRPr="00273309">
        <w:rPr>
          <w:rFonts w:ascii="Tahoma" w:eastAsia="Times New Roman" w:hAnsi="Tahoma" w:cs="Tahoma"/>
          <w:b/>
          <w:bCs/>
          <w:color w:val="000000"/>
          <w:sz w:val="22"/>
          <w:szCs w:val="22"/>
          <w:u w:val="single"/>
          <w:lang w:eastAsia="en-US"/>
        </w:rPr>
        <w:t xml:space="preserve"> on Garden Land</w:t>
      </w:r>
      <w:r w:rsidR="00785769">
        <w:rPr>
          <w:rFonts w:ascii="Tahoma" w:eastAsia="Times New Roman" w:hAnsi="Tahoma" w:cs="Tahoma"/>
          <w:b/>
          <w:bCs/>
          <w:color w:val="000000"/>
          <w:sz w:val="22"/>
          <w:szCs w:val="22"/>
          <w:u w:val="single"/>
          <w:lang w:eastAsia="en-US"/>
        </w:rPr>
        <w:t>.</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w:t>
      </w:r>
    </w:p>
    <w:p w:rsidR="003657C5"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criteria for permitting new dwellings or other development within the curtilage of gardens of an</w:t>
      </w:r>
      <w:r w:rsidR="003657C5">
        <w:rPr>
          <w:rFonts w:ascii="Tahoma" w:eastAsia="Times New Roman" w:hAnsi="Tahoma" w:cs="Tahoma"/>
          <w:color w:val="000000"/>
          <w:sz w:val="22"/>
          <w:szCs w:val="22"/>
          <w:lang w:eastAsia="en-US"/>
        </w:rPr>
        <w:t xml:space="preserve"> existing dwelling are too weak </w:t>
      </w:r>
      <w:r w:rsidR="00920941">
        <w:rPr>
          <w:rFonts w:ascii="Tahoma" w:eastAsia="Times New Roman" w:hAnsi="Tahoma" w:cs="Tahoma"/>
          <w:color w:val="000000"/>
          <w:sz w:val="22"/>
          <w:szCs w:val="22"/>
          <w:lang w:eastAsia="en-US"/>
        </w:rPr>
        <w:t xml:space="preserve">and </w:t>
      </w:r>
      <w:r w:rsidR="003657C5">
        <w:rPr>
          <w:rFonts w:ascii="Tahoma" w:eastAsia="Times New Roman" w:hAnsi="Tahoma" w:cs="Tahoma"/>
          <w:color w:val="000000"/>
          <w:sz w:val="22"/>
          <w:szCs w:val="22"/>
          <w:lang w:eastAsia="en-US"/>
        </w:rPr>
        <w:t>do not meet the NPPF instructions to Local Planning Authorities.</w:t>
      </w:r>
    </w:p>
    <w:p w:rsidR="00273309" w:rsidRPr="00273309" w:rsidRDefault="003657C5" w:rsidP="00273309">
      <w:pPr>
        <w:rPr>
          <w:rFonts w:ascii="Tahoma" w:eastAsia="Times New Roman" w:hAnsi="Tahoma" w:cs="Tahoma"/>
          <w:color w:val="000000"/>
          <w:sz w:val="22"/>
          <w:szCs w:val="22"/>
          <w:lang w:eastAsia="en-US"/>
        </w:rPr>
      </w:pPr>
      <w:r>
        <w:rPr>
          <w:rFonts w:ascii="Tahoma" w:eastAsia="Times New Roman" w:hAnsi="Tahoma" w:cs="Tahoma"/>
          <w:color w:val="000000"/>
          <w:sz w:val="22"/>
          <w:szCs w:val="22"/>
          <w:lang w:eastAsia="en-US"/>
        </w:rPr>
        <w:t>The NPPF states at para 48 the Local Planning Authorities shoul</w:t>
      </w:r>
      <w:r w:rsidR="00785769">
        <w:rPr>
          <w:rFonts w:ascii="Tahoma" w:eastAsia="Times New Roman" w:hAnsi="Tahoma" w:cs="Tahoma"/>
          <w:color w:val="000000"/>
          <w:sz w:val="22"/>
          <w:szCs w:val="22"/>
          <w:lang w:eastAsia="en-US"/>
        </w:rPr>
        <w:t xml:space="preserve">d set out policies to ‘resist’ </w:t>
      </w:r>
      <w:r w:rsidR="001F4F9A">
        <w:rPr>
          <w:rFonts w:ascii="Tahoma" w:eastAsia="Times New Roman" w:hAnsi="Tahoma" w:cs="Tahoma"/>
          <w:color w:val="000000"/>
          <w:sz w:val="22"/>
          <w:szCs w:val="22"/>
          <w:lang w:eastAsia="en-US"/>
        </w:rPr>
        <w:t>inappropriate</w:t>
      </w:r>
      <w:r w:rsidR="00785769">
        <w:rPr>
          <w:rFonts w:ascii="Tahoma" w:eastAsia="Times New Roman" w:hAnsi="Tahoma" w:cs="Tahoma"/>
          <w:color w:val="000000"/>
          <w:sz w:val="22"/>
          <w:szCs w:val="22"/>
          <w:lang w:eastAsia="en-US"/>
        </w:rPr>
        <w:t xml:space="preserve"> development on garden land – the proposed policies gives guidance which need</w:t>
      </w:r>
      <w:r w:rsidR="00AB5288">
        <w:rPr>
          <w:rFonts w:ascii="Tahoma" w:eastAsia="Times New Roman" w:hAnsi="Tahoma" w:cs="Tahoma"/>
          <w:color w:val="000000"/>
          <w:sz w:val="22"/>
          <w:szCs w:val="22"/>
          <w:lang w:eastAsia="en-US"/>
        </w:rPr>
        <w:t>s</w:t>
      </w:r>
      <w:r w:rsidR="00785769">
        <w:rPr>
          <w:rFonts w:ascii="Tahoma" w:eastAsia="Times New Roman" w:hAnsi="Tahoma" w:cs="Tahoma"/>
          <w:color w:val="000000"/>
          <w:sz w:val="22"/>
          <w:szCs w:val="22"/>
          <w:lang w:eastAsia="en-US"/>
        </w:rPr>
        <w:t xml:space="preserve"> to be considered for </w:t>
      </w:r>
      <w:r w:rsidR="00920941">
        <w:rPr>
          <w:rFonts w:ascii="Tahoma" w:eastAsia="Times New Roman" w:hAnsi="Tahoma" w:cs="Tahoma"/>
          <w:color w:val="000000"/>
          <w:sz w:val="22"/>
          <w:szCs w:val="22"/>
          <w:lang w:eastAsia="en-US"/>
        </w:rPr>
        <w:t xml:space="preserve">the </w:t>
      </w:r>
      <w:r w:rsidR="00785769">
        <w:rPr>
          <w:rFonts w:ascii="Tahoma" w:eastAsia="Times New Roman" w:hAnsi="Tahoma" w:cs="Tahoma"/>
          <w:color w:val="000000"/>
          <w:sz w:val="22"/>
          <w:szCs w:val="22"/>
          <w:lang w:eastAsia="en-US"/>
        </w:rPr>
        <w:t xml:space="preserve">‘approval’ </w:t>
      </w:r>
      <w:r>
        <w:rPr>
          <w:rFonts w:ascii="Tahoma" w:eastAsia="Times New Roman" w:hAnsi="Tahoma" w:cs="Tahoma"/>
          <w:color w:val="000000"/>
          <w:sz w:val="22"/>
          <w:szCs w:val="22"/>
          <w:lang w:eastAsia="en-US"/>
        </w:rPr>
        <w:t xml:space="preserve"> </w:t>
      </w:r>
      <w:r w:rsidR="00785769">
        <w:rPr>
          <w:rFonts w:ascii="Tahoma" w:eastAsia="Times New Roman" w:hAnsi="Tahoma" w:cs="Tahoma"/>
          <w:color w:val="000000"/>
          <w:sz w:val="22"/>
          <w:szCs w:val="22"/>
          <w:lang w:eastAsia="en-US"/>
        </w:rPr>
        <w:t>of development on garden land.</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The first criteria, </w:t>
      </w:r>
      <w:proofErr w:type="gramStart"/>
      <w:r w:rsidR="00920941">
        <w:rPr>
          <w:rFonts w:ascii="Tahoma" w:eastAsia="Times New Roman" w:hAnsi="Tahoma" w:cs="Tahoma"/>
          <w:color w:val="000000"/>
          <w:sz w:val="22"/>
          <w:szCs w:val="22"/>
          <w:lang w:eastAsia="en-US"/>
        </w:rPr>
        <w:t>states</w:t>
      </w:r>
      <w:r w:rsidRPr="00273309">
        <w:rPr>
          <w:rFonts w:ascii="Tahoma" w:eastAsia="Times New Roman" w:hAnsi="Tahoma" w:cs="Tahoma"/>
          <w:color w:val="000000"/>
          <w:sz w:val="22"/>
          <w:szCs w:val="22"/>
          <w:lang w:eastAsia="en-US"/>
        </w:rPr>
        <w:t xml:space="preserve"> "It would complement the local character" is</w:t>
      </w:r>
      <w:proofErr w:type="gramEnd"/>
      <w:r w:rsidRPr="00273309">
        <w:rPr>
          <w:rFonts w:ascii="Tahoma" w:eastAsia="Times New Roman" w:hAnsi="Tahoma" w:cs="Tahoma"/>
          <w:color w:val="000000"/>
          <w:sz w:val="22"/>
          <w:szCs w:val="22"/>
          <w:lang w:eastAsia="en-US"/>
        </w:rPr>
        <w:t xml:space="preserve"> highly subjective and unquantifiable.</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The second criteria, "where biodiversity is protected" is also </w:t>
      </w:r>
      <w:r w:rsidR="00AB5288">
        <w:rPr>
          <w:rFonts w:ascii="Tahoma" w:eastAsia="Times New Roman" w:hAnsi="Tahoma" w:cs="Tahoma"/>
          <w:color w:val="000000"/>
          <w:sz w:val="22"/>
          <w:szCs w:val="22"/>
          <w:lang w:eastAsia="en-US"/>
        </w:rPr>
        <w:t>to vague and indetermina</w:t>
      </w:r>
      <w:r w:rsidR="00BD5E48">
        <w:rPr>
          <w:rFonts w:ascii="Tahoma" w:eastAsia="Times New Roman" w:hAnsi="Tahoma" w:cs="Tahoma"/>
          <w:color w:val="000000"/>
          <w:sz w:val="22"/>
          <w:szCs w:val="22"/>
          <w:lang w:eastAsia="en-US"/>
        </w:rPr>
        <w:t>ble</w:t>
      </w:r>
      <w:r w:rsidR="00AB5288">
        <w:rPr>
          <w:rFonts w:ascii="Tahoma" w:eastAsia="Times New Roman" w:hAnsi="Tahoma" w:cs="Tahoma"/>
          <w:color w:val="000000"/>
          <w:sz w:val="22"/>
          <w:szCs w:val="22"/>
          <w:lang w:eastAsia="en-US"/>
        </w:rPr>
        <w:t xml:space="preserve"> to make any informed judgement</w:t>
      </w:r>
      <w:r w:rsidRPr="00273309">
        <w:rPr>
          <w:rFonts w:ascii="Tahoma" w:eastAsia="Times New Roman" w:hAnsi="Tahoma" w:cs="Tahoma"/>
          <w:color w:val="000000"/>
          <w:sz w:val="22"/>
          <w:szCs w:val="22"/>
          <w:lang w:eastAsia="en-US"/>
        </w:rPr>
        <w:t>.</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object to these criteria being used in the determination of acceptable development on garden land, </w:t>
      </w:r>
      <w:r w:rsidR="00785769">
        <w:rPr>
          <w:rFonts w:ascii="Tahoma" w:eastAsia="Times New Roman" w:hAnsi="Tahoma" w:cs="Tahoma"/>
          <w:color w:val="000000"/>
          <w:sz w:val="22"/>
          <w:szCs w:val="22"/>
          <w:lang w:eastAsia="en-US"/>
        </w:rPr>
        <w:t xml:space="preserve">as they undermine the presumption against development on garden land </w:t>
      </w:r>
      <w:r w:rsidRPr="00273309">
        <w:rPr>
          <w:rFonts w:ascii="Tahoma" w:eastAsia="Times New Roman" w:hAnsi="Tahoma" w:cs="Tahoma"/>
          <w:color w:val="000000"/>
          <w:sz w:val="22"/>
          <w:szCs w:val="22"/>
          <w:lang w:eastAsia="en-US"/>
        </w:rPr>
        <w:t xml:space="preserve">and </w:t>
      </w:r>
      <w:r w:rsidR="00BD5E48">
        <w:rPr>
          <w:rFonts w:ascii="Tahoma" w:eastAsia="Times New Roman" w:hAnsi="Tahoma" w:cs="Tahoma"/>
          <w:color w:val="000000"/>
          <w:sz w:val="22"/>
          <w:szCs w:val="22"/>
          <w:lang w:eastAsia="en-US"/>
        </w:rPr>
        <w:t xml:space="preserve">therefore </w:t>
      </w:r>
      <w:r w:rsidR="00920941">
        <w:rPr>
          <w:rFonts w:ascii="Tahoma" w:eastAsia="Times New Roman" w:hAnsi="Tahoma" w:cs="Tahoma"/>
          <w:color w:val="000000"/>
          <w:sz w:val="22"/>
          <w:szCs w:val="22"/>
          <w:lang w:eastAsia="en-US"/>
        </w:rPr>
        <w:t xml:space="preserve">we </w:t>
      </w:r>
      <w:r w:rsidRPr="00273309">
        <w:rPr>
          <w:rFonts w:ascii="Tahoma" w:eastAsia="Times New Roman" w:hAnsi="Tahoma" w:cs="Tahoma"/>
          <w:color w:val="000000"/>
          <w:sz w:val="22"/>
          <w:szCs w:val="22"/>
          <w:lang w:eastAsia="en-US"/>
        </w:rPr>
        <w:t xml:space="preserve">ask for stronger </w:t>
      </w:r>
      <w:r w:rsidR="00AB5288">
        <w:rPr>
          <w:rFonts w:ascii="Tahoma" w:eastAsia="Times New Roman" w:hAnsi="Tahoma" w:cs="Tahoma"/>
          <w:color w:val="000000"/>
          <w:sz w:val="22"/>
          <w:szCs w:val="22"/>
          <w:lang w:eastAsia="en-US"/>
        </w:rPr>
        <w:t xml:space="preserve">positive </w:t>
      </w:r>
      <w:r w:rsidRPr="00273309">
        <w:rPr>
          <w:rFonts w:ascii="Tahoma" w:eastAsia="Times New Roman" w:hAnsi="Tahoma" w:cs="Tahoma"/>
          <w:color w:val="000000"/>
          <w:sz w:val="22"/>
          <w:szCs w:val="22"/>
          <w:lang w:eastAsia="en-US"/>
        </w:rPr>
        <w:t xml:space="preserve">criteria </w:t>
      </w:r>
      <w:r w:rsidR="00AB5288">
        <w:rPr>
          <w:rFonts w:ascii="Tahoma" w:eastAsia="Times New Roman" w:hAnsi="Tahoma" w:cs="Tahoma"/>
          <w:color w:val="000000"/>
          <w:sz w:val="22"/>
          <w:szCs w:val="22"/>
          <w:lang w:eastAsia="en-US"/>
        </w:rPr>
        <w:t xml:space="preserve">“to resist” development on garden land </w:t>
      </w:r>
      <w:r w:rsidRPr="00273309">
        <w:rPr>
          <w:rFonts w:ascii="Tahoma" w:eastAsia="Times New Roman" w:hAnsi="Tahoma" w:cs="Tahoma"/>
          <w:color w:val="000000"/>
          <w:sz w:val="22"/>
          <w:szCs w:val="22"/>
          <w:lang w:eastAsia="en-US"/>
        </w:rPr>
        <w:t>to be defined.</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The National Planning Policy Framework Para 48 and 53, and the London Plan require Local Planning Authorities to define policies to </w:t>
      </w:r>
      <w:r w:rsidR="006A6C19">
        <w:rPr>
          <w:rFonts w:ascii="Tahoma" w:eastAsia="Times New Roman" w:hAnsi="Tahoma" w:cs="Tahoma"/>
          <w:color w:val="000000"/>
          <w:sz w:val="22"/>
          <w:szCs w:val="22"/>
          <w:lang w:eastAsia="en-US"/>
        </w:rPr>
        <w:t>“</w:t>
      </w:r>
      <w:r w:rsidRPr="00273309">
        <w:rPr>
          <w:rFonts w:ascii="Tahoma" w:eastAsia="Times New Roman" w:hAnsi="Tahoma" w:cs="Tahoma"/>
          <w:color w:val="000000"/>
          <w:sz w:val="22"/>
          <w:szCs w:val="22"/>
          <w:lang w:eastAsia="en-US"/>
        </w:rPr>
        <w:t>resist developments</w:t>
      </w:r>
      <w:r w:rsidR="006A6C19">
        <w:rPr>
          <w:rFonts w:ascii="Tahoma" w:eastAsia="Times New Roman" w:hAnsi="Tahoma" w:cs="Tahoma"/>
          <w:color w:val="000000"/>
          <w:sz w:val="22"/>
          <w:szCs w:val="22"/>
          <w:lang w:eastAsia="en-US"/>
        </w:rPr>
        <w:t>”</w:t>
      </w:r>
      <w:r w:rsidRPr="00273309">
        <w:rPr>
          <w:rFonts w:ascii="Tahoma" w:eastAsia="Times New Roman" w:hAnsi="Tahoma" w:cs="Tahoma"/>
          <w:color w:val="000000"/>
          <w:sz w:val="22"/>
          <w:szCs w:val="22"/>
          <w:lang w:eastAsia="en-US"/>
        </w:rPr>
        <w:t xml:space="preserve"> on garden land.  The relaxation of the criteria in Policy DM2 is contrary to th</w:t>
      </w:r>
      <w:r w:rsidR="00BD5E48">
        <w:rPr>
          <w:rFonts w:ascii="Tahoma" w:eastAsia="Times New Roman" w:hAnsi="Tahoma" w:cs="Tahoma"/>
          <w:color w:val="000000"/>
          <w:sz w:val="22"/>
          <w:szCs w:val="22"/>
          <w:lang w:eastAsia="en-US"/>
        </w:rPr>
        <w:t>is</w:t>
      </w:r>
      <w:r w:rsidRPr="00273309">
        <w:rPr>
          <w:rFonts w:ascii="Tahoma" w:eastAsia="Times New Roman" w:hAnsi="Tahoma" w:cs="Tahoma"/>
          <w:color w:val="000000"/>
          <w:sz w:val="22"/>
          <w:szCs w:val="22"/>
          <w:lang w:eastAsia="en-US"/>
        </w:rPr>
        <w:t xml:space="preserve"> </w:t>
      </w:r>
      <w:r w:rsidR="00BD5E48">
        <w:rPr>
          <w:rFonts w:ascii="Tahoma" w:eastAsia="Times New Roman" w:hAnsi="Tahoma" w:cs="Tahoma"/>
          <w:color w:val="000000"/>
          <w:sz w:val="22"/>
          <w:szCs w:val="22"/>
          <w:lang w:eastAsia="en-US"/>
        </w:rPr>
        <w:t>guidance and directions from the NPPF</w:t>
      </w:r>
      <w:r w:rsidRPr="00273309">
        <w:rPr>
          <w:rFonts w:ascii="Tahoma" w:eastAsia="Times New Roman" w:hAnsi="Tahoma" w:cs="Tahoma"/>
          <w:color w:val="000000"/>
          <w:sz w:val="22"/>
          <w:szCs w:val="22"/>
          <w:lang w:eastAsia="en-US"/>
        </w:rPr>
        <w:t>.</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For the reasons given above:</w:t>
      </w:r>
    </w:p>
    <w:p w:rsidR="00273309" w:rsidRPr="00273309" w:rsidRDefault="00273309" w:rsidP="00273309">
      <w:pPr>
        <w:numPr>
          <w:ilvl w:val="0"/>
          <w:numId w:val="2"/>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that the preferred approach is the most appropriate for Croydon to help us meet our Strategic Objectives set out in Section 3.</w:t>
      </w:r>
    </w:p>
    <w:p w:rsidR="00273309" w:rsidRPr="00273309" w:rsidRDefault="00273309" w:rsidP="00273309">
      <w:pPr>
        <w:numPr>
          <w:ilvl w:val="0"/>
          <w:numId w:val="2"/>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preferred approach is deliverable, but not acceptable.</w:t>
      </w:r>
    </w:p>
    <w:p w:rsidR="00273309" w:rsidRDefault="00273309" w:rsidP="00273309">
      <w:pPr>
        <w:numPr>
          <w:ilvl w:val="0"/>
          <w:numId w:val="2"/>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the preferred approach enables sustainable development, because it will compromise the ability</w:t>
      </w:r>
      <w:r w:rsidR="001F4F9A">
        <w:rPr>
          <w:rFonts w:ascii="Tahoma" w:eastAsia="Times New Roman" w:hAnsi="Tahoma" w:cs="Tahoma"/>
          <w:color w:val="000000"/>
          <w:sz w:val="22"/>
          <w:szCs w:val="22"/>
          <w:lang w:eastAsia="en-US"/>
        </w:rPr>
        <w:t xml:space="preserve"> to meet the needs of</w:t>
      </w:r>
      <w:r w:rsidRPr="00273309">
        <w:rPr>
          <w:rFonts w:ascii="Tahoma" w:eastAsia="Times New Roman" w:hAnsi="Tahoma" w:cs="Tahoma"/>
          <w:color w:val="000000"/>
          <w:sz w:val="22"/>
          <w:szCs w:val="22"/>
          <w:lang w:eastAsia="en-US"/>
        </w:rPr>
        <w:t xml:space="preserve"> f</w:t>
      </w:r>
      <w:r w:rsidR="001F4F9A">
        <w:rPr>
          <w:rFonts w:ascii="Tahoma" w:eastAsia="Times New Roman" w:hAnsi="Tahoma" w:cs="Tahoma"/>
          <w:color w:val="000000"/>
          <w:sz w:val="22"/>
          <w:szCs w:val="22"/>
          <w:lang w:eastAsia="en-US"/>
        </w:rPr>
        <w:t>uture generations.</w:t>
      </w:r>
    </w:p>
    <w:p w:rsidR="00920941" w:rsidRPr="00603FDC" w:rsidRDefault="00920941" w:rsidP="00920941">
      <w:pPr>
        <w:numPr>
          <w:ilvl w:val="0"/>
          <w:numId w:val="2"/>
        </w:numPr>
        <w:spacing w:before="100" w:beforeAutospacing="1" w:after="100" w:afterAutospacing="1"/>
        <w:rPr>
          <w:rFonts w:ascii="Tahoma" w:eastAsia="Times New Roman" w:hAnsi="Tahoma" w:cs="Tahoma"/>
          <w:color w:val="000000"/>
          <w:sz w:val="22"/>
          <w:szCs w:val="22"/>
          <w:lang w:eastAsia="en-US"/>
        </w:rPr>
      </w:pPr>
      <w:r w:rsidRPr="00603FDC">
        <w:rPr>
          <w:rFonts w:ascii="Tahoma" w:eastAsia="Times New Roman" w:hAnsi="Tahoma" w:cs="Tahoma"/>
          <w:color w:val="000000"/>
          <w:sz w:val="22"/>
          <w:szCs w:val="22"/>
          <w:lang w:eastAsia="en-US"/>
        </w:rPr>
        <w:t xml:space="preserve">Policy DM2 para </w:t>
      </w:r>
      <w:r w:rsidRPr="00603FDC">
        <w:rPr>
          <w:rFonts w:ascii="Tahoma" w:eastAsia="Times New Roman" w:hAnsi="Tahoma" w:cs="Tahoma"/>
          <w:color w:val="000000"/>
          <w:sz w:val="22"/>
          <w:szCs w:val="22"/>
          <w:lang w:eastAsia="en-US"/>
        </w:rPr>
        <w:t xml:space="preserve">4.19 </w:t>
      </w:r>
      <w:r w:rsidRPr="00603FDC">
        <w:rPr>
          <w:rFonts w:ascii="Tahoma" w:eastAsia="Times New Roman" w:hAnsi="Tahoma" w:cs="Tahoma"/>
          <w:color w:val="000000"/>
          <w:sz w:val="22"/>
          <w:szCs w:val="22"/>
          <w:lang w:eastAsia="en-US"/>
        </w:rPr>
        <w:t xml:space="preserve">states </w:t>
      </w:r>
      <w:r w:rsidRPr="00603FDC">
        <w:rPr>
          <w:rFonts w:ascii="Tahoma" w:eastAsia="Times New Roman" w:hAnsi="Tahoma" w:cs="Tahoma"/>
          <w:color w:val="000000"/>
          <w:sz w:val="22"/>
          <w:szCs w:val="22"/>
          <w:lang w:eastAsia="en-US"/>
        </w:rPr>
        <w:t xml:space="preserve">London's Strategic Housing Land Availability Assessment, which forms the basis of London Plan housing targets for Croydon, assumes that garden land will not be developed. </w:t>
      </w:r>
      <w:r w:rsidR="00603FDC">
        <w:rPr>
          <w:rFonts w:ascii="Tahoma" w:eastAsia="Times New Roman" w:hAnsi="Tahoma" w:cs="Tahoma"/>
          <w:color w:val="000000"/>
          <w:sz w:val="22"/>
          <w:szCs w:val="22"/>
          <w:lang w:eastAsia="en-US"/>
        </w:rPr>
        <w:t xml:space="preserve">Therefore it is unnecessary to build on garden land to </w:t>
      </w:r>
      <w:r w:rsidRPr="00603FDC">
        <w:rPr>
          <w:rFonts w:ascii="Tahoma" w:eastAsia="Times New Roman" w:hAnsi="Tahoma" w:cs="Tahoma"/>
          <w:color w:val="000000"/>
          <w:sz w:val="22"/>
          <w:szCs w:val="22"/>
          <w:lang w:eastAsia="en-US"/>
        </w:rPr>
        <w:t>meet Croydon's housing targets.</w:t>
      </w:r>
    </w:p>
    <w:p w:rsidR="00273309" w:rsidRDefault="00603FDC" w:rsidP="00273309">
      <w:pPr>
        <w:numPr>
          <w:ilvl w:val="0"/>
          <w:numId w:val="2"/>
        </w:numPr>
        <w:spacing w:before="100" w:beforeAutospacing="1" w:after="100" w:afterAutospacing="1"/>
        <w:rPr>
          <w:rFonts w:ascii="Tahoma" w:eastAsia="Times New Roman" w:hAnsi="Tahoma" w:cs="Tahoma"/>
          <w:color w:val="000000"/>
          <w:sz w:val="22"/>
          <w:szCs w:val="22"/>
          <w:lang w:eastAsia="en-US"/>
        </w:rPr>
      </w:pPr>
      <w:r>
        <w:rPr>
          <w:rFonts w:ascii="Tahoma" w:eastAsia="Times New Roman" w:hAnsi="Tahoma" w:cs="Tahoma"/>
          <w:color w:val="000000"/>
          <w:sz w:val="22"/>
          <w:szCs w:val="22"/>
          <w:lang w:eastAsia="en-US"/>
        </w:rPr>
        <w:t xml:space="preserve">I </w:t>
      </w:r>
      <w:r w:rsidR="00273309" w:rsidRPr="00273309">
        <w:rPr>
          <w:rFonts w:ascii="Tahoma" w:eastAsia="Times New Roman" w:hAnsi="Tahoma" w:cs="Tahoma"/>
          <w:color w:val="000000"/>
          <w:sz w:val="22"/>
          <w:szCs w:val="22"/>
          <w:lang w:eastAsia="en-US"/>
        </w:rPr>
        <w:t>recommend that consultation documents of such importance are given much wider publicity.</w:t>
      </w:r>
    </w:p>
    <w:p w:rsidR="006E41AC" w:rsidRDefault="006E41AC" w:rsidP="00273309">
      <w:pPr>
        <w:rPr>
          <w:rFonts w:ascii="Tahoma" w:eastAsia="Times New Roman" w:hAnsi="Tahoma" w:cs="Tahoma"/>
          <w:b/>
          <w:bCs/>
          <w:color w:val="000000"/>
          <w:sz w:val="22"/>
          <w:szCs w:val="22"/>
          <w:lang w:eastAsia="en-US"/>
        </w:rPr>
      </w:pPr>
      <w:r>
        <w:rPr>
          <w:rFonts w:ascii="Tahoma" w:eastAsia="Times New Roman" w:hAnsi="Tahoma" w:cs="Tahoma"/>
          <w:b/>
          <w:bCs/>
          <w:color w:val="000000"/>
          <w:sz w:val="22"/>
          <w:szCs w:val="22"/>
          <w:lang w:eastAsia="en-US"/>
        </w:rPr>
        <w:t>3</w:t>
      </w:r>
      <w:r>
        <w:rPr>
          <w:rFonts w:ascii="Tahoma" w:eastAsia="Times New Roman" w:hAnsi="Tahoma" w:cs="Tahoma"/>
          <w:b/>
          <w:bCs/>
          <w:color w:val="000000"/>
          <w:sz w:val="22"/>
          <w:szCs w:val="22"/>
          <w:lang w:eastAsia="en-US"/>
        </w:rPr>
        <w:tab/>
        <w:t xml:space="preserve">Proposed Policy DM10 Design and </w:t>
      </w:r>
      <w:r w:rsidR="00112995">
        <w:rPr>
          <w:rFonts w:ascii="Tahoma" w:eastAsia="Times New Roman" w:hAnsi="Tahoma" w:cs="Tahoma"/>
          <w:b/>
          <w:bCs/>
          <w:color w:val="000000"/>
          <w:sz w:val="22"/>
          <w:szCs w:val="22"/>
          <w:lang w:eastAsia="en-US"/>
        </w:rPr>
        <w:t>Character; 10.4 Communal Open Space</w:t>
      </w:r>
    </w:p>
    <w:p w:rsidR="006E41AC" w:rsidRDefault="006E41AC" w:rsidP="00273309">
      <w:pPr>
        <w:rPr>
          <w:rFonts w:ascii="Tahoma" w:eastAsia="Times New Roman" w:hAnsi="Tahoma" w:cs="Tahoma"/>
          <w:b/>
          <w:bCs/>
          <w:color w:val="000000"/>
          <w:sz w:val="22"/>
          <w:szCs w:val="22"/>
          <w:lang w:eastAsia="en-US"/>
        </w:rPr>
      </w:pPr>
    </w:p>
    <w:p w:rsidR="006E41AC" w:rsidRDefault="006E41AC" w:rsidP="00273309">
      <w:pPr>
        <w:rPr>
          <w:rFonts w:ascii="Tahoma" w:eastAsia="Times New Roman" w:hAnsi="Tahoma" w:cs="Tahoma"/>
          <w:bCs/>
          <w:color w:val="000000"/>
          <w:sz w:val="22"/>
          <w:szCs w:val="22"/>
          <w:lang w:eastAsia="en-US"/>
        </w:rPr>
      </w:pPr>
      <w:r w:rsidRPr="006E41AC">
        <w:rPr>
          <w:rFonts w:ascii="Tahoma" w:eastAsia="Times New Roman" w:hAnsi="Tahoma" w:cs="Tahoma"/>
          <w:bCs/>
          <w:color w:val="000000"/>
          <w:sz w:val="22"/>
          <w:szCs w:val="22"/>
          <w:lang w:eastAsia="en-US"/>
        </w:rPr>
        <w:t xml:space="preserve">I object to the </w:t>
      </w:r>
      <w:r>
        <w:rPr>
          <w:rFonts w:ascii="Tahoma" w:eastAsia="Times New Roman" w:hAnsi="Tahoma" w:cs="Tahoma"/>
          <w:bCs/>
          <w:color w:val="000000"/>
          <w:sz w:val="22"/>
          <w:szCs w:val="22"/>
          <w:lang w:eastAsia="en-US"/>
        </w:rPr>
        <w:t xml:space="preserve">relaxation of allocation of communal open space for residential dwellings of multiple </w:t>
      </w:r>
      <w:proofErr w:type="gramStart"/>
      <w:r>
        <w:rPr>
          <w:rFonts w:ascii="Tahoma" w:eastAsia="Times New Roman" w:hAnsi="Tahoma" w:cs="Tahoma"/>
          <w:bCs/>
          <w:color w:val="000000"/>
          <w:sz w:val="22"/>
          <w:szCs w:val="22"/>
          <w:lang w:eastAsia="en-US"/>
        </w:rPr>
        <w:t>occupation</w:t>
      </w:r>
      <w:proofErr w:type="gramEnd"/>
      <w:r>
        <w:rPr>
          <w:rFonts w:ascii="Tahoma" w:eastAsia="Times New Roman" w:hAnsi="Tahoma" w:cs="Tahoma"/>
          <w:bCs/>
          <w:color w:val="000000"/>
          <w:sz w:val="22"/>
          <w:szCs w:val="22"/>
          <w:lang w:eastAsia="en-US"/>
        </w:rPr>
        <w:t xml:space="preserve"> or for flats.  The current policy specifies that planning </w:t>
      </w:r>
      <w:r w:rsidRPr="006E41AC">
        <w:rPr>
          <w:rFonts w:ascii="Tahoma" w:eastAsia="Times New Roman" w:hAnsi="Tahoma" w:cs="Tahoma"/>
          <w:bCs/>
          <w:color w:val="000000"/>
          <w:sz w:val="22"/>
          <w:szCs w:val="22"/>
          <w:lang w:eastAsia="en-US"/>
        </w:rPr>
        <w:t>permission will not be granted for residential development unless recreational open space arising from the needs generated by the proposal is provided at a standard of 2.43ha per 1000 people.</w:t>
      </w:r>
    </w:p>
    <w:p w:rsidR="00112995" w:rsidRDefault="006E41AC" w:rsidP="00273309">
      <w:pPr>
        <w:rPr>
          <w:rFonts w:ascii="Tahoma" w:eastAsia="Times New Roman" w:hAnsi="Tahoma" w:cs="Tahoma"/>
          <w:bCs/>
          <w:color w:val="000000"/>
          <w:sz w:val="22"/>
          <w:szCs w:val="22"/>
          <w:lang w:eastAsia="en-US"/>
        </w:rPr>
      </w:pPr>
      <w:r>
        <w:rPr>
          <w:rFonts w:ascii="Tahoma" w:eastAsia="Times New Roman" w:hAnsi="Tahoma" w:cs="Tahoma"/>
          <w:bCs/>
          <w:color w:val="000000"/>
          <w:sz w:val="22"/>
          <w:szCs w:val="22"/>
          <w:lang w:eastAsia="en-US"/>
        </w:rPr>
        <w:t>The new policy at 10.</w:t>
      </w:r>
      <w:r w:rsidR="00112995">
        <w:rPr>
          <w:rFonts w:ascii="Tahoma" w:eastAsia="Times New Roman" w:hAnsi="Tahoma" w:cs="Tahoma"/>
          <w:bCs/>
          <w:color w:val="000000"/>
          <w:sz w:val="22"/>
          <w:szCs w:val="22"/>
          <w:lang w:eastAsia="en-US"/>
        </w:rPr>
        <w:t>4 only specifies private amenity areas and play space for children.  It does not specify communal open space for the number of occupants of a residential development.</w:t>
      </w:r>
    </w:p>
    <w:p w:rsidR="00112995" w:rsidRDefault="00112995" w:rsidP="00273309">
      <w:pPr>
        <w:rPr>
          <w:rFonts w:ascii="Tahoma" w:eastAsia="Times New Roman" w:hAnsi="Tahoma" w:cs="Tahoma"/>
          <w:bCs/>
          <w:color w:val="000000"/>
          <w:sz w:val="22"/>
          <w:szCs w:val="22"/>
          <w:lang w:eastAsia="en-US"/>
        </w:rPr>
      </w:pPr>
    </w:p>
    <w:p w:rsidR="00112995" w:rsidRDefault="00112995" w:rsidP="00273309">
      <w:pPr>
        <w:rPr>
          <w:rFonts w:ascii="Tahoma" w:eastAsia="Times New Roman" w:hAnsi="Tahoma" w:cs="Tahoma"/>
          <w:bCs/>
          <w:color w:val="000000"/>
          <w:sz w:val="22"/>
          <w:szCs w:val="22"/>
          <w:lang w:eastAsia="en-US"/>
        </w:rPr>
      </w:pPr>
      <w:r>
        <w:rPr>
          <w:rFonts w:ascii="Tahoma" w:eastAsia="Times New Roman" w:hAnsi="Tahoma" w:cs="Tahoma"/>
          <w:bCs/>
          <w:color w:val="000000"/>
          <w:sz w:val="22"/>
          <w:szCs w:val="22"/>
          <w:lang w:eastAsia="en-US"/>
        </w:rPr>
        <w:t>The reasons for this objection:</w:t>
      </w:r>
    </w:p>
    <w:p w:rsidR="00112995" w:rsidRPr="00112995" w:rsidRDefault="00112995" w:rsidP="00112995">
      <w:pPr>
        <w:numPr>
          <w:ilvl w:val="0"/>
          <w:numId w:val="6"/>
        </w:numPr>
        <w:spacing w:before="100" w:beforeAutospacing="1" w:after="100" w:afterAutospacing="1"/>
        <w:rPr>
          <w:rFonts w:ascii="Tahoma" w:eastAsia="Times New Roman" w:hAnsi="Tahoma" w:cs="Tahoma"/>
          <w:color w:val="000000"/>
          <w:sz w:val="22"/>
          <w:szCs w:val="22"/>
          <w:lang w:eastAsia="en-US"/>
        </w:rPr>
      </w:pPr>
      <w:r w:rsidRPr="00112995">
        <w:rPr>
          <w:rFonts w:ascii="Tahoma" w:eastAsia="Times New Roman" w:hAnsi="Tahoma" w:cs="Tahoma"/>
          <w:color w:val="000000"/>
          <w:sz w:val="22"/>
          <w:szCs w:val="22"/>
          <w:lang w:eastAsia="en-US"/>
        </w:rPr>
        <w:t>The policies for intensification will result in lack of amenity space or communal open space for the residents of future developments</w:t>
      </w:r>
      <w:r>
        <w:rPr>
          <w:rFonts w:ascii="Tahoma" w:eastAsia="Times New Roman" w:hAnsi="Tahoma" w:cs="Tahoma"/>
          <w:color w:val="000000"/>
          <w:sz w:val="22"/>
          <w:szCs w:val="22"/>
          <w:lang w:eastAsia="en-US"/>
        </w:rPr>
        <w:t xml:space="preserve"> of high residential and housing density</w:t>
      </w:r>
      <w:r w:rsidRPr="00112995">
        <w:rPr>
          <w:rFonts w:ascii="Tahoma" w:eastAsia="Times New Roman" w:hAnsi="Tahoma" w:cs="Tahoma"/>
          <w:color w:val="000000"/>
          <w:sz w:val="22"/>
          <w:szCs w:val="22"/>
          <w:lang w:eastAsia="en-US"/>
        </w:rPr>
        <w:t>.</w:t>
      </w:r>
    </w:p>
    <w:p w:rsidR="00112995" w:rsidRDefault="00112995" w:rsidP="00112995">
      <w:pPr>
        <w:numPr>
          <w:ilvl w:val="0"/>
          <w:numId w:val="6"/>
        </w:numPr>
        <w:spacing w:before="100" w:beforeAutospacing="1" w:after="100" w:afterAutospacing="1"/>
        <w:rPr>
          <w:rFonts w:ascii="Tahoma" w:eastAsia="Times New Roman" w:hAnsi="Tahoma" w:cs="Tahoma"/>
          <w:color w:val="000000"/>
          <w:sz w:val="22"/>
          <w:szCs w:val="22"/>
          <w:lang w:eastAsia="en-US"/>
        </w:rPr>
      </w:pPr>
      <w:r w:rsidRPr="00112995">
        <w:rPr>
          <w:rFonts w:ascii="Tahoma" w:eastAsia="Times New Roman" w:hAnsi="Tahoma" w:cs="Tahoma"/>
          <w:color w:val="000000"/>
          <w:sz w:val="22"/>
          <w:szCs w:val="22"/>
          <w:lang w:eastAsia="en-US"/>
        </w:rPr>
        <w:t xml:space="preserve">The Private amenity space allocations are such that residents will need a measure of communal open space to avoid an overbearing and claustrophobic amenity. </w:t>
      </w:r>
    </w:p>
    <w:p w:rsidR="00EA7672" w:rsidRDefault="00EA7672" w:rsidP="00112995">
      <w:pPr>
        <w:numPr>
          <w:ilvl w:val="0"/>
          <w:numId w:val="6"/>
        </w:numPr>
        <w:spacing w:before="100" w:beforeAutospacing="1" w:after="100" w:afterAutospacing="1"/>
        <w:rPr>
          <w:rFonts w:ascii="Tahoma" w:eastAsia="Times New Roman" w:hAnsi="Tahoma" w:cs="Tahoma"/>
          <w:color w:val="000000"/>
          <w:sz w:val="22"/>
          <w:szCs w:val="22"/>
          <w:lang w:eastAsia="en-US"/>
        </w:rPr>
      </w:pPr>
      <w:r>
        <w:rPr>
          <w:rFonts w:ascii="Tahoma" w:eastAsia="Times New Roman" w:hAnsi="Tahoma" w:cs="Tahoma"/>
          <w:color w:val="000000"/>
          <w:sz w:val="22"/>
          <w:szCs w:val="22"/>
          <w:lang w:eastAsia="en-US"/>
        </w:rPr>
        <w:lastRenderedPageBreak/>
        <w:t>Developers will be able to propose developments with minimal community open space allocations and planning officers or the planning committee would not have sufficient ground to refuse those applications</w:t>
      </w:r>
    </w:p>
    <w:p w:rsidR="00EA7672" w:rsidRPr="00112995" w:rsidRDefault="00EA7672" w:rsidP="00112995">
      <w:pPr>
        <w:numPr>
          <w:ilvl w:val="0"/>
          <w:numId w:val="6"/>
        </w:numPr>
        <w:spacing w:before="100" w:beforeAutospacing="1" w:after="100" w:afterAutospacing="1"/>
        <w:rPr>
          <w:rFonts w:ascii="Tahoma" w:eastAsia="Times New Roman" w:hAnsi="Tahoma" w:cs="Tahoma"/>
          <w:color w:val="000000"/>
          <w:sz w:val="22"/>
          <w:szCs w:val="22"/>
          <w:lang w:eastAsia="en-US"/>
        </w:rPr>
      </w:pPr>
      <w:r>
        <w:rPr>
          <w:rFonts w:ascii="Tahoma" w:eastAsia="Times New Roman" w:hAnsi="Tahoma" w:cs="Tahoma"/>
          <w:color w:val="000000"/>
          <w:sz w:val="22"/>
          <w:szCs w:val="22"/>
          <w:lang w:eastAsia="en-US"/>
        </w:rPr>
        <w:t>We don’t want developers concreting over all of Croydon!</w:t>
      </w:r>
    </w:p>
    <w:p w:rsidR="00112995" w:rsidRPr="00112995" w:rsidRDefault="00112995" w:rsidP="00603FDC">
      <w:pPr>
        <w:numPr>
          <w:ilvl w:val="0"/>
          <w:numId w:val="6"/>
        </w:numPr>
        <w:spacing w:before="100" w:beforeAutospacing="1" w:after="100" w:afterAutospacing="1"/>
        <w:rPr>
          <w:rFonts w:ascii="Tahoma" w:eastAsia="Times New Roman" w:hAnsi="Tahoma" w:cs="Tahoma"/>
          <w:color w:val="000000"/>
          <w:sz w:val="22"/>
          <w:szCs w:val="22"/>
          <w:lang w:eastAsia="en-US"/>
        </w:rPr>
      </w:pPr>
      <w:r w:rsidRPr="00112995">
        <w:rPr>
          <w:rFonts w:ascii="Tahoma" w:eastAsia="Times New Roman" w:hAnsi="Tahoma" w:cs="Tahoma"/>
          <w:color w:val="000000"/>
          <w:sz w:val="22"/>
          <w:szCs w:val="22"/>
          <w:lang w:eastAsia="en-US"/>
        </w:rPr>
        <w:t>The current allocation</w:t>
      </w:r>
      <w:r w:rsidR="00603FDC" w:rsidRPr="00603FDC">
        <w:t xml:space="preserve"> </w:t>
      </w:r>
      <w:r w:rsidR="00603FDC" w:rsidRPr="00603FDC">
        <w:rPr>
          <w:rFonts w:ascii="Tahoma" w:eastAsia="Times New Roman" w:hAnsi="Tahoma" w:cs="Tahoma"/>
          <w:color w:val="000000"/>
          <w:sz w:val="22"/>
          <w:szCs w:val="22"/>
          <w:lang w:eastAsia="en-US"/>
        </w:rPr>
        <w:t>of 2.43ha per 1000 people</w:t>
      </w:r>
      <w:r w:rsidRPr="00112995">
        <w:rPr>
          <w:rFonts w:ascii="Tahoma" w:eastAsia="Times New Roman" w:hAnsi="Tahoma" w:cs="Tahoma"/>
          <w:color w:val="000000"/>
          <w:sz w:val="22"/>
          <w:szCs w:val="22"/>
          <w:lang w:eastAsia="en-US"/>
        </w:rPr>
        <w:t xml:space="preserve"> is appropriate and should be retained.</w:t>
      </w:r>
    </w:p>
    <w:p w:rsidR="00273309" w:rsidRPr="00273309" w:rsidRDefault="00112995" w:rsidP="00273309">
      <w:pPr>
        <w:rPr>
          <w:rFonts w:ascii="Tahoma" w:eastAsia="Times New Roman" w:hAnsi="Tahoma" w:cs="Tahoma"/>
          <w:color w:val="000000"/>
          <w:sz w:val="22"/>
          <w:szCs w:val="22"/>
          <w:lang w:eastAsia="en-US"/>
        </w:rPr>
      </w:pPr>
      <w:r>
        <w:rPr>
          <w:rFonts w:ascii="Tahoma" w:eastAsia="Times New Roman" w:hAnsi="Tahoma" w:cs="Tahoma"/>
          <w:b/>
          <w:bCs/>
          <w:color w:val="000000"/>
          <w:sz w:val="22"/>
          <w:szCs w:val="22"/>
          <w:lang w:eastAsia="en-US"/>
        </w:rPr>
        <w:t>4</w:t>
      </w:r>
      <w:r w:rsidR="00273309" w:rsidRPr="00273309">
        <w:rPr>
          <w:rFonts w:ascii="Tahoma" w:eastAsia="Times New Roman" w:hAnsi="Tahoma" w:cs="Tahoma"/>
          <w:color w:val="000000"/>
          <w:sz w:val="22"/>
          <w:szCs w:val="22"/>
          <w:lang w:eastAsia="en-US"/>
        </w:rPr>
        <w:t> </w:t>
      </w:r>
      <w:r w:rsidR="00785769" w:rsidRPr="00785769">
        <w:rPr>
          <w:rFonts w:ascii="Tahoma" w:eastAsia="Times New Roman" w:hAnsi="Tahoma" w:cs="Tahoma"/>
          <w:color w:val="000000"/>
          <w:sz w:val="22"/>
          <w:szCs w:val="22"/>
          <w:lang w:eastAsia="en-US"/>
        </w:rPr>
        <w:tab/>
      </w:r>
      <w:r w:rsidR="00273309" w:rsidRPr="00273309">
        <w:rPr>
          <w:rFonts w:ascii="Tahoma" w:eastAsia="Times New Roman" w:hAnsi="Tahoma" w:cs="Tahoma"/>
          <w:b/>
          <w:bCs/>
          <w:color w:val="000000"/>
          <w:sz w:val="22"/>
          <w:szCs w:val="22"/>
          <w:u w:val="single"/>
          <w:lang w:eastAsia="en-US"/>
        </w:rPr>
        <w:t xml:space="preserve">Proposed Policy </w:t>
      </w:r>
      <w:proofErr w:type="gramStart"/>
      <w:r w:rsidR="00273309" w:rsidRPr="00273309">
        <w:rPr>
          <w:rFonts w:ascii="Tahoma" w:eastAsia="Times New Roman" w:hAnsi="Tahoma" w:cs="Tahoma"/>
          <w:b/>
          <w:bCs/>
          <w:color w:val="000000"/>
          <w:sz w:val="22"/>
          <w:szCs w:val="22"/>
          <w:u w:val="single"/>
          <w:lang w:eastAsia="en-US"/>
        </w:rPr>
        <w:t>DM43  De</w:t>
      </w:r>
      <w:proofErr w:type="gramEnd"/>
      <w:r w:rsidR="00273309" w:rsidRPr="00273309">
        <w:rPr>
          <w:rFonts w:ascii="Tahoma" w:eastAsia="Times New Roman" w:hAnsi="Tahoma" w:cs="Tahoma"/>
          <w:b/>
          <w:bCs/>
          <w:color w:val="000000"/>
          <w:sz w:val="22"/>
          <w:szCs w:val="22"/>
          <w:u w:val="single"/>
          <w:lang w:eastAsia="en-US"/>
        </w:rPr>
        <w:t xml:space="preserve">-designation of Metropolitan Open Land around Shirley Oaks </w:t>
      </w:r>
      <w:r w:rsidR="00785769">
        <w:rPr>
          <w:rFonts w:ascii="Tahoma" w:eastAsia="Times New Roman" w:hAnsi="Tahoma" w:cs="Tahoma"/>
          <w:b/>
          <w:bCs/>
          <w:color w:val="000000"/>
          <w:sz w:val="22"/>
          <w:szCs w:val="22"/>
          <w:u w:val="single"/>
          <w:lang w:eastAsia="en-US"/>
        </w:rPr>
        <w:t>Village.</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object to the de-designation of Metropolitan Open Land in the vicinity of Shirley Oaks Road and Shirley Oaks Village.  The land should be at least </w:t>
      </w:r>
      <w:proofErr w:type="gramStart"/>
      <w:r w:rsidRPr="00273309">
        <w:rPr>
          <w:rFonts w:ascii="Tahoma" w:eastAsia="Times New Roman" w:hAnsi="Tahoma" w:cs="Tahoma"/>
          <w:color w:val="000000"/>
          <w:sz w:val="22"/>
          <w:szCs w:val="22"/>
          <w:lang w:eastAsia="en-US"/>
        </w:rPr>
        <w:t>be</w:t>
      </w:r>
      <w:proofErr w:type="gramEnd"/>
      <w:r w:rsidRPr="00273309">
        <w:rPr>
          <w:rFonts w:ascii="Tahoma" w:eastAsia="Times New Roman" w:hAnsi="Tahoma" w:cs="Tahoma"/>
          <w:color w:val="000000"/>
          <w:sz w:val="22"/>
          <w:szCs w:val="22"/>
          <w:lang w:eastAsia="en-US"/>
        </w:rPr>
        <w:t xml:space="preserve"> designated as Local Green Space, for its protection from development.  </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This open space provides a green corridor between Shirley Oaks and the surrounding areas, and should be retained in its present form.</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also object to the following specific proposals for the building of new homes on this site, as detailed in Changes to the Policies Map arising from Proposals contained within the </w:t>
      </w:r>
      <w:proofErr w:type="spellStart"/>
      <w:r w:rsidRPr="00273309">
        <w:rPr>
          <w:rFonts w:ascii="Tahoma" w:eastAsia="Times New Roman" w:hAnsi="Tahoma" w:cs="Tahoma"/>
          <w:color w:val="000000"/>
          <w:sz w:val="22"/>
          <w:szCs w:val="22"/>
          <w:lang w:eastAsia="en-US"/>
        </w:rPr>
        <w:t>the</w:t>
      </w:r>
      <w:proofErr w:type="spellEnd"/>
      <w:r w:rsidRPr="00273309">
        <w:rPr>
          <w:rFonts w:ascii="Tahoma" w:eastAsia="Times New Roman" w:hAnsi="Tahoma" w:cs="Tahoma"/>
          <w:color w:val="000000"/>
          <w:sz w:val="22"/>
          <w:szCs w:val="22"/>
          <w:lang w:eastAsia="en-US"/>
        </w:rPr>
        <w:t xml:space="preserve"> Croydon Local Plan: Strategic Policies Partial Review and the Croydon Local Plan, Detailed Policies &amp; Proposals: </w:t>
      </w:r>
    </w:p>
    <w:p w:rsidR="00273309" w:rsidRPr="00273309" w:rsidRDefault="00273309" w:rsidP="00273309">
      <w:pPr>
        <w:rPr>
          <w:rFonts w:ascii="Tahoma" w:eastAsia="Times New Roman" w:hAnsi="Tahoma" w:cs="Tahoma"/>
          <w:color w:val="000000"/>
          <w:sz w:val="22"/>
          <w:szCs w:val="22"/>
          <w:lang w:eastAsia="en-US"/>
        </w:rPr>
      </w:pPr>
      <w:r w:rsidRPr="00785769">
        <w:rPr>
          <w:rFonts w:ascii="Tahoma" w:eastAsia="Times New Roman" w:hAnsi="Tahoma" w:cs="Tahoma"/>
          <w:color w:val="000000"/>
          <w:sz w:val="22"/>
          <w:szCs w:val="22"/>
          <w:lang w:eastAsia="en-US"/>
        </w:rPr>
        <w:tab/>
      </w:r>
      <w:r w:rsidRPr="00273309">
        <w:rPr>
          <w:rFonts w:ascii="Tahoma" w:eastAsia="Times New Roman" w:hAnsi="Tahoma" w:cs="Tahoma"/>
          <w:color w:val="000000"/>
          <w:sz w:val="22"/>
          <w:szCs w:val="22"/>
          <w:lang w:eastAsia="en-US"/>
        </w:rPr>
        <w:t>Policy DM43, reference </w:t>
      </w:r>
      <w:r w:rsidR="00785769">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128 to build new homes at Poppy Lane</w:t>
      </w:r>
    </w:p>
    <w:p w:rsidR="00273309" w:rsidRPr="00273309" w:rsidRDefault="00273309" w:rsidP="00273309">
      <w:pPr>
        <w:rPr>
          <w:rFonts w:ascii="Tahoma" w:eastAsia="Times New Roman" w:hAnsi="Tahoma" w:cs="Tahoma"/>
          <w:color w:val="000000"/>
          <w:sz w:val="22"/>
          <w:szCs w:val="22"/>
          <w:lang w:eastAsia="en-US"/>
        </w:rPr>
      </w:pPr>
      <w:r w:rsidRPr="00785769">
        <w:rPr>
          <w:rFonts w:ascii="Tahoma" w:eastAsia="Times New Roman" w:hAnsi="Tahoma" w:cs="Tahoma"/>
          <w:color w:val="000000"/>
          <w:sz w:val="22"/>
          <w:szCs w:val="22"/>
          <w:lang w:eastAsia="en-US"/>
        </w:rPr>
        <w:tab/>
      </w:r>
      <w:r w:rsidRPr="00273309">
        <w:rPr>
          <w:rFonts w:ascii="Tahoma" w:eastAsia="Times New Roman" w:hAnsi="Tahoma" w:cs="Tahoma"/>
          <w:color w:val="000000"/>
          <w:sz w:val="22"/>
          <w:szCs w:val="22"/>
          <w:lang w:eastAsia="en-US"/>
        </w:rPr>
        <w:t>Policy DM43, reference</w:t>
      </w:r>
      <w:r w:rsidR="00785769">
        <w:rPr>
          <w:rFonts w:ascii="Tahoma" w:eastAsia="Times New Roman" w:hAnsi="Tahoma" w:cs="Tahoma"/>
          <w:color w:val="000000"/>
          <w:sz w:val="22"/>
          <w:szCs w:val="22"/>
          <w:lang w:eastAsia="en-US"/>
        </w:rPr>
        <w:t xml:space="preserve"> Site</w:t>
      </w:r>
      <w:r w:rsidRPr="00273309">
        <w:rPr>
          <w:rFonts w:ascii="Tahoma" w:eastAsia="Times New Roman" w:hAnsi="Tahoma" w:cs="Tahoma"/>
          <w:color w:val="000000"/>
          <w:sz w:val="22"/>
          <w:szCs w:val="22"/>
          <w:lang w:eastAsia="en-US"/>
        </w:rPr>
        <w:t> 504 to build new homes at Stroud Green Pumping Station (including the conversion of the pumping station which is a locally-listed building)</w:t>
      </w:r>
    </w:p>
    <w:p w:rsidR="00273309" w:rsidRPr="00273309" w:rsidRDefault="00273309" w:rsidP="00273309">
      <w:pPr>
        <w:rPr>
          <w:rFonts w:ascii="Tahoma" w:eastAsia="Times New Roman" w:hAnsi="Tahoma" w:cs="Tahoma"/>
          <w:color w:val="000000"/>
          <w:sz w:val="22"/>
          <w:szCs w:val="22"/>
          <w:lang w:eastAsia="en-US"/>
        </w:rPr>
      </w:pPr>
      <w:r w:rsidRPr="00785769">
        <w:rPr>
          <w:rFonts w:ascii="Tahoma" w:eastAsia="Times New Roman" w:hAnsi="Tahoma" w:cs="Tahoma"/>
          <w:color w:val="000000"/>
          <w:sz w:val="22"/>
          <w:szCs w:val="22"/>
          <w:lang w:eastAsia="en-US"/>
        </w:rPr>
        <w:tab/>
      </w:r>
      <w:r w:rsidRPr="00273309">
        <w:rPr>
          <w:rFonts w:ascii="Tahoma" w:eastAsia="Times New Roman" w:hAnsi="Tahoma" w:cs="Tahoma"/>
          <w:color w:val="000000"/>
          <w:sz w:val="22"/>
          <w:szCs w:val="22"/>
          <w:lang w:eastAsia="en-US"/>
        </w:rPr>
        <w:t>Policy DM43, reference </w:t>
      </w:r>
      <w:r w:rsidR="00785769">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54</w:t>
      </w:r>
      <w:r w:rsidR="001F4F9A">
        <w:rPr>
          <w:rFonts w:ascii="Tahoma" w:eastAsia="Times New Roman" w:hAnsi="Tahoma" w:cs="Tahoma"/>
          <w:color w:val="000000"/>
          <w:sz w:val="22"/>
          <w:szCs w:val="22"/>
          <w:lang w:eastAsia="en-US"/>
        </w:rPr>
        <w:t>1 &amp; 542</w:t>
      </w:r>
      <w:r w:rsidRPr="00273309">
        <w:rPr>
          <w:rFonts w:ascii="Tahoma" w:eastAsia="Times New Roman" w:hAnsi="Tahoma" w:cs="Tahoma"/>
          <w:color w:val="000000"/>
          <w:sz w:val="22"/>
          <w:szCs w:val="22"/>
          <w:lang w:eastAsia="en-US"/>
        </w:rPr>
        <w:t xml:space="preserve"> to build new homes on land to the </w:t>
      </w:r>
      <w:r w:rsidR="001F4F9A">
        <w:rPr>
          <w:rFonts w:ascii="Tahoma" w:eastAsia="Times New Roman" w:hAnsi="Tahoma" w:cs="Tahoma"/>
          <w:color w:val="000000"/>
          <w:sz w:val="22"/>
          <w:szCs w:val="22"/>
          <w:lang w:eastAsia="en-US"/>
        </w:rPr>
        <w:t>East &amp; W</w:t>
      </w:r>
      <w:r w:rsidRPr="00273309">
        <w:rPr>
          <w:rFonts w:ascii="Tahoma" w:eastAsia="Times New Roman" w:hAnsi="Tahoma" w:cs="Tahoma"/>
          <w:color w:val="000000"/>
          <w:sz w:val="22"/>
          <w:szCs w:val="22"/>
          <w:lang w:eastAsia="en-US"/>
        </w:rPr>
        <w:t>est of Shirley Oaks Road</w:t>
      </w:r>
    </w:p>
    <w:p w:rsidR="00273309" w:rsidRPr="00273309" w:rsidRDefault="00273309" w:rsidP="00273309">
      <w:pPr>
        <w:rPr>
          <w:rFonts w:ascii="Tahoma" w:eastAsia="Times New Roman" w:hAnsi="Tahoma" w:cs="Tahoma"/>
          <w:color w:val="000000"/>
          <w:sz w:val="22"/>
          <w:szCs w:val="22"/>
          <w:lang w:eastAsia="en-US"/>
        </w:rPr>
      </w:pPr>
      <w:r w:rsidRPr="00785769">
        <w:rPr>
          <w:rFonts w:ascii="Tahoma" w:eastAsia="Times New Roman" w:hAnsi="Tahoma" w:cs="Tahoma"/>
          <w:color w:val="000000"/>
          <w:sz w:val="22"/>
          <w:szCs w:val="22"/>
          <w:lang w:eastAsia="en-US"/>
        </w:rPr>
        <w:tab/>
      </w:r>
      <w:r w:rsidRPr="00273309">
        <w:rPr>
          <w:rFonts w:ascii="Tahoma" w:eastAsia="Times New Roman" w:hAnsi="Tahoma" w:cs="Tahoma"/>
          <w:color w:val="000000"/>
          <w:sz w:val="22"/>
          <w:szCs w:val="22"/>
          <w:lang w:eastAsia="en-US"/>
        </w:rPr>
        <w:t>Policy DM43, reference </w:t>
      </w:r>
      <w:r w:rsidR="00785769">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548 to build new homes on land to the rear of Honeysuckle Gardens</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Not only would these developments entail the loss of the green corridor between Shirley Oaks and the surrounding areas, the local road infrastructure would not be able to cope with the additional traffic. Also, </w:t>
      </w:r>
      <w:r w:rsidR="00A56A22">
        <w:rPr>
          <w:rFonts w:ascii="Tahoma" w:eastAsia="Times New Roman" w:hAnsi="Tahoma" w:cs="Tahoma"/>
          <w:color w:val="000000"/>
          <w:sz w:val="22"/>
          <w:szCs w:val="22"/>
          <w:lang w:eastAsia="en-US"/>
        </w:rPr>
        <w:t xml:space="preserve">the local schools are over-subscribed as well as </w:t>
      </w:r>
      <w:r w:rsidRPr="00273309">
        <w:rPr>
          <w:rFonts w:ascii="Tahoma" w:eastAsia="Times New Roman" w:hAnsi="Tahoma" w:cs="Tahoma"/>
          <w:color w:val="000000"/>
          <w:sz w:val="22"/>
          <w:szCs w:val="22"/>
          <w:lang w:eastAsia="en-US"/>
        </w:rPr>
        <w:t>the already-stretched social and healthcare facilities would be overloaded.  </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For the reasons given above:</w:t>
      </w:r>
    </w:p>
    <w:p w:rsidR="00273309" w:rsidRPr="00273309" w:rsidRDefault="00273309" w:rsidP="00273309">
      <w:pPr>
        <w:numPr>
          <w:ilvl w:val="0"/>
          <w:numId w:val="3"/>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that the preferred approach is the most appropriate for Croydon to help us meet our Strategic Objectives set out in Section 3.</w:t>
      </w:r>
    </w:p>
    <w:p w:rsidR="00273309" w:rsidRPr="00273309" w:rsidRDefault="00273309" w:rsidP="00273309">
      <w:pPr>
        <w:numPr>
          <w:ilvl w:val="0"/>
          <w:numId w:val="3"/>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preferred approach is deliverable, but not acceptable.</w:t>
      </w:r>
    </w:p>
    <w:p w:rsidR="00273309" w:rsidRPr="00273309" w:rsidRDefault="00273309" w:rsidP="00273309">
      <w:pPr>
        <w:numPr>
          <w:ilvl w:val="0"/>
          <w:numId w:val="3"/>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do not think the preferred approach enables sustainable development, because it will compromise the ability </w:t>
      </w:r>
      <w:r w:rsidR="00A56A22">
        <w:rPr>
          <w:rFonts w:ascii="Tahoma" w:eastAsia="Times New Roman" w:hAnsi="Tahoma" w:cs="Tahoma"/>
          <w:color w:val="000000"/>
          <w:sz w:val="22"/>
          <w:szCs w:val="22"/>
          <w:lang w:eastAsia="en-US"/>
        </w:rPr>
        <w:t xml:space="preserve">to meet the needs </w:t>
      </w:r>
      <w:r w:rsidRPr="00273309">
        <w:rPr>
          <w:rFonts w:ascii="Tahoma" w:eastAsia="Times New Roman" w:hAnsi="Tahoma" w:cs="Tahoma"/>
          <w:color w:val="000000"/>
          <w:sz w:val="22"/>
          <w:szCs w:val="22"/>
          <w:lang w:eastAsia="en-US"/>
        </w:rPr>
        <w:t>of future generations</w:t>
      </w:r>
      <w:r w:rsidR="00A56A22">
        <w:rPr>
          <w:rFonts w:ascii="Tahoma" w:eastAsia="Times New Roman" w:hAnsi="Tahoma" w:cs="Tahoma"/>
          <w:color w:val="000000"/>
          <w:sz w:val="22"/>
          <w:szCs w:val="22"/>
          <w:lang w:eastAsia="en-US"/>
        </w:rPr>
        <w:t>.</w:t>
      </w:r>
    </w:p>
    <w:p w:rsidR="00273309" w:rsidRPr="00273309" w:rsidRDefault="00273309" w:rsidP="00273309">
      <w:pPr>
        <w:numPr>
          <w:ilvl w:val="0"/>
          <w:numId w:val="3"/>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recommend that consultation documents of such importance are given much wider publicity.</w:t>
      </w:r>
    </w:p>
    <w:p w:rsidR="00273309" w:rsidRPr="00273309" w:rsidRDefault="00112995" w:rsidP="00273309">
      <w:pPr>
        <w:rPr>
          <w:rFonts w:ascii="Tahoma" w:eastAsia="Times New Roman" w:hAnsi="Tahoma" w:cs="Tahoma"/>
          <w:color w:val="000000"/>
          <w:sz w:val="22"/>
          <w:szCs w:val="22"/>
          <w:lang w:eastAsia="en-US"/>
        </w:rPr>
      </w:pPr>
      <w:r>
        <w:rPr>
          <w:rFonts w:ascii="Tahoma" w:eastAsia="Times New Roman" w:hAnsi="Tahoma" w:cs="Tahoma"/>
          <w:b/>
          <w:bCs/>
          <w:color w:val="000000"/>
          <w:sz w:val="22"/>
          <w:szCs w:val="22"/>
          <w:lang w:eastAsia="en-US"/>
        </w:rPr>
        <w:t>5</w:t>
      </w:r>
      <w:r w:rsidR="00273309" w:rsidRPr="00273309">
        <w:rPr>
          <w:rFonts w:ascii="Tahoma" w:eastAsia="Times New Roman" w:hAnsi="Tahoma" w:cs="Tahoma"/>
          <w:b/>
          <w:bCs/>
          <w:color w:val="000000"/>
          <w:sz w:val="22"/>
          <w:szCs w:val="22"/>
          <w:lang w:eastAsia="en-US"/>
        </w:rPr>
        <w:t> </w:t>
      </w:r>
      <w:r w:rsidR="00A56A22" w:rsidRPr="00A56A22">
        <w:rPr>
          <w:rFonts w:ascii="Tahoma" w:eastAsia="Times New Roman" w:hAnsi="Tahoma" w:cs="Tahoma"/>
          <w:b/>
          <w:bCs/>
          <w:color w:val="000000"/>
          <w:sz w:val="22"/>
          <w:szCs w:val="22"/>
          <w:lang w:eastAsia="en-US"/>
        </w:rPr>
        <w:tab/>
      </w:r>
      <w:r w:rsidR="00273309" w:rsidRPr="00273309">
        <w:rPr>
          <w:rFonts w:ascii="Tahoma" w:eastAsia="Times New Roman" w:hAnsi="Tahoma" w:cs="Tahoma"/>
          <w:b/>
          <w:bCs/>
          <w:color w:val="000000"/>
          <w:sz w:val="22"/>
          <w:szCs w:val="22"/>
          <w:u w:val="single"/>
          <w:lang w:eastAsia="en-US"/>
        </w:rPr>
        <w:t xml:space="preserve">Proposed Policy </w:t>
      </w:r>
      <w:proofErr w:type="gramStart"/>
      <w:r w:rsidR="00273309" w:rsidRPr="00273309">
        <w:rPr>
          <w:rFonts w:ascii="Tahoma" w:eastAsia="Times New Roman" w:hAnsi="Tahoma" w:cs="Tahoma"/>
          <w:b/>
          <w:bCs/>
          <w:color w:val="000000"/>
          <w:sz w:val="22"/>
          <w:szCs w:val="22"/>
          <w:u w:val="single"/>
          <w:lang w:eastAsia="en-US"/>
        </w:rPr>
        <w:t>DM43  Development</w:t>
      </w:r>
      <w:proofErr w:type="gramEnd"/>
      <w:r w:rsidR="00273309" w:rsidRPr="00273309">
        <w:rPr>
          <w:rFonts w:ascii="Tahoma" w:eastAsia="Times New Roman" w:hAnsi="Tahoma" w:cs="Tahoma"/>
          <w:b/>
          <w:bCs/>
          <w:color w:val="000000"/>
          <w:sz w:val="22"/>
          <w:szCs w:val="22"/>
          <w:u w:val="single"/>
          <w:lang w:eastAsia="en-US"/>
        </w:rPr>
        <w:t xml:space="preserve"> of Under-used Garages and Open Spaces on </w:t>
      </w:r>
      <w:proofErr w:type="spellStart"/>
      <w:r w:rsidR="00273309" w:rsidRPr="00273309">
        <w:rPr>
          <w:rFonts w:ascii="Tahoma" w:eastAsia="Times New Roman" w:hAnsi="Tahoma" w:cs="Tahoma"/>
          <w:b/>
          <w:bCs/>
          <w:color w:val="000000"/>
          <w:sz w:val="22"/>
          <w:szCs w:val="22"/>
          <w:u w:val="single"/>
          <w:lang w:eastAsia="en-US"/>
        </w:rPr>
        <w:t>Shrublands</w:t>
      </w:r>
      <w:proofErr w:type="spellEnd"/>
      <w:r w:rsidR="00273309" w:rsidRPr="00273309">
        <w:rPr>
          <w:rFonts w:ascii="Tahoma" w:eastAsia="Times New Roman" w:hAnsi="Tahoma" w:cs="Tahoma"/>
          <w:b/>
          <w:bCs/>
          <w:color w:val="000000"/>
          <w:sz w:val="22"/>
          <w:szCs w:val="22"/>
          <w:u w:val="single"/>
          <w:lang w:eastAsia="en-US"/>
        </w:rPr>
        <w:t xml:space="preserve"> Estate</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Policy DM43, reference 938</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w:t>
      </w:r>
      <w:r w:rsidR="006A6C19">
        <w:rPr>
          <w:rFonts w:ascii="Tahoma" w:eastAsia="Times New Roman" w:hAnsi="Tahoma" w:cs="Tahoma"/>
          <w:color w:val="000000"/>
          <w:sz w:val="22"/>
          <w:szCs w:val="22"/>
          <w:lang w:eastAsia="en-US"/>
        </w:rPr>
        <w:t>am sympathetic</w:t>
      </w:r>
      <w:r w:rsidRPr="00273309">
        <w:rPr>
          <w:rFonts w:ascii="Tahoma" w:eastAsia="Times New Roman" w:hAnsi="Tahoma" w:cs="Tahoma"/>
          <w:color w:val="000000"/>
          <w:sz w:val="22"/>
          <w:szCs w:val="22"/>
          <w:lang w:eastAsia="en-US"/>
        </w:rPr>
        <w:t xml:space="preserve"> to the building of homes on the under-used garages on the </w:t>
      </w:r>
      <w:proofErr w:type="spellStart"/>
      <w:r w:rsidRPr="00273309">
        <w:rPr>
          <w:rFonts w:ascii="Tahoma" w:eastAsia="Times New Roman" w:hAnsi="Tahoma" w:cs="Tahoma"/>
          <w:color w:val="000000"/>
          <w:sz w:val="22"/>
          <w:szCs w:val="22"/>
          <w:lang w:eastAsia="en-US"/>
        </w:rPr>
        <w:t>Shrublands</w:t>
      </w:r>
      <w:proofErr w:type="spellEnd"/>
      <w:r w:rsidRPr="00273309">
        <w:rPr>
          <w:rFonts w:ascii="Tahoma" w:eastAsia="Times New Roman" w:hAnsi="Tahoma" w:cs="Tahoma"/>
          <w:color w:val="000000"/>
          <w:sz w:val="22"/>
          <w:szCs w:val="22"/>
          <w:lang w:eastAsia="en-US"/>
        </w:rPr>
        <w:t xml:space="preserve"> Estate as detailed in Changes to the Policies Map arising from Proposals contained within the Croydon Local Plan: Strategic Policies Partial Review and the Croydon Local Plan, Detailed Policies &amp; Proposals: reference number 938.</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lastRenderedPageBreak/>
        <w:t xml:space="preserve">However, I object to the building of any homes on </w:t>
      </w:r>
      <w:r w:rsidR="00A56A22">
        <w:rPr>
          <w:rFonts w:ascii="Tahoma" w:eastAsia="Times New Roman" w:hAnsi="Tahoma" w:cs="Tahoma"/>
          <w:color w:val="000000"/>
          <w:sz w:val="22"/>
          <w:szCs w:val="22"/>
          <w:lang w:eastAsia="en-US"/>
        </w:rPr>
        <w:t xml:space="preserve">communal </w:t>
      </w:r>
      <w:r w:rsidRPr="00273309">
        <w:rPr>
          <w:rFonts w:ascii="Tahoma" w:eastAsia="Times New Roman" w:hAnsi="Tahoma" w:cs="Tahoma"/>
          <w:color w:val="000000"/>
          <w:sz w:val="22"/>
          <w:szCs w:val="22"/>
          <w:lang w:eastAsia="en-US"/>
        </w:rPr>
        <w:t xml:space="preserve">open spaces </w:t>
      </w:r>
      <w:r w:rsidR="006A6C19">
        <w:rPr>
          <w:rFonts w:ascii="Tahoma" w:eastAsia="Times New Roman" w:hAnsi="Tahoma" w:cs="Tahoma"/>
          <w:color w:val="000000"/>
          <w:sz w:val="22"/>
          <w:szCs w:val="22"/>
          <w:lang w:eastAsia="en-US"/>
        </w:rPr>
        <w:t xml:space="preserve">and loss of amenity </w:t>
      </w:r>
      <w:r w:rsidRPr="00273309">
        <w:rPr>
          <w:rFonts w:ascii="Tahoma" w:eastAsia="Times New Roman" w:hAnsi="Tahoma" w:cs="Tahoma"/>
          <w:color w:val="000000"/>
          <w:sz w:val="22"/>
          <w:szCs w:val="22"/>
          <w:lang w:eastAsia="en-US"/>
        </w:rPr>
        <w:t xml:space="preserve">on the </w:t>
      </w:r>
      <w:proofErr w:type="spellStart"/>
      <w:r w:rsidRPr="00273309">
        <w:rPr>
          <w:rFonts w:ascii="Tahoma" w:eastAsia="Times New Roman" w:hAnsi="Tahoma" w:cs="Tahoma"/>
          <w:color w:val="000000"/>
          <w:sz w:val="22"/>
          <w:szCs w:val="22"/>
          <w:lang w:eastAsia="en-US"/>
        </w:rPr>
        <w:t>Shrublands</w:t>
      </w:r>
      <w:proofErr w:type="spellEnd"/>
      <w:r w:rsidRPr="00273309">
        <w:rPr>
          <w:rFonts w:ascii="Tahoma" w:eastAsia="Times New Roman" w:hAnsi="Tahoma" w:cs="Tahoma"/>
          <w:color w:val="000000"/>
          <w:sz w:val="22"/>
          <w:szCs w:val="22"/>
          <w:lang w:eastAsia="en-US"/>
        </w:rPr>
        <w:t xml:space="preserve"> Estate.</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For the reasons given above:</w:t>
      </w:r>
    </w:p>
    <w:p w:rsidR="00273309" w:rsidRPr="00273309" w:rsidRDefault="00273309" w:rsidP="00273309">
      <w:pPr>
        <w:numPr>
          <w:ilvl w:val="0"/>
          <w:numId w:val="4"/>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that the preferred approach is the most appropriate for Croydon to help us meet our Strategic Objectives set out in Section 3.</w:t>
      </w:r>
    </w:p>
    <w:p w:rsidR="00273309" w:rsidRPr="00273309" w:rsidRDefault="00273309" w:rsidP="00273309">
      <w:pPr>
        <w:numPr>
          <w:ilvl w:val="0"/>
          <w:numId w:val="4"/>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preferred approach is deliverable, but not acceptable.</w:t>
      </w:r>
    </w:p>
    <w:p w:rsidR="00273309" w:rsidRPr="00273309" w:rsidRDefault="00273309" w:rsidP="00273309">
      <w:pPr>
        <w:numPr>
          <w:ilvl w:val="0"/>
          <w:numId w:val="4"/>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do not think the preferred approach enables sustainable development, because it will compromise the ability </w:t>
      </w:r>
      <w:r w:rsidR="00A56A22">
        <w:rPr>
          <w:rFonts w:ascii="Tahoma" w:eastAsia="Times New Roman" w:hAnsi="Tahoma" w:cs="Tahoma"/>
          <w:color w:val="000000"/>
          <w:sz w:val="22"/>
          <w:szCs w:val="22"/>
          <w:lang w:eastAsia="en-US"/>
        </w:rPr>
        <w:t xml:space="preserve">to meet the needs </w:t>
      </w:r>
      <w:r w:rsidRPr="00273309">
        <w:rPr>
          <w:rFonts w:ascii="Tahoma" w:eastAsia="Times New Roman" w:hAnsi="Tahoma" w:cs="Tahoma"/>
          <w:color w:val="000000"/>
          <w:sz w:val="22"/>
          <w:szCs w:val="22"/>
          <w:lang w:eastAsia="en-US"/>
        </w:rPr>
        <w:t>of future generations</w:t>
      </w:r>
      <w:r w:rsidR="00A56A22">
        <w:rPr>
          <w:rFonts w:ascii="Tahoma" w:eastAsia="Times New Roman" w:hAnsi="Tahoma" w:cs="Tahoma"/>
          <w:color w:val="000000"/>
          <w:sz w:val="22"/>
          <w:szCs w:val="22"/>
          <w:lang w:eastAsia="en-US"/>
        </w:rPr>
        <w:t>.</w:t>
      </w:r>
    </w:p>
    <w:p w:rsidR="00273309" w:rsidRPr="00273309" w:rsidRDefault="00273309" w:rsidP="00273309">
      <w:pPr>
        <w:numPr>
          <w:ilvl w:val="0"/>
          <w:numId w:val="4"/>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recommend that consultation documents of such importance are given much wider publicity.</w:t>
      </w:r>
    </w:p>
    <w:p w:rsidR="00273309" w:rsidRPr="00273309" w:rsidRDefault="00112995" w:rsidP="00273309">
      <w:pPr>
        <w:rPr>
          <w:rFonts w:ascii="Tahoma" w:eastAsia="Times New Roman" w:hAnsi="Tahoma" w:cs="Tahoma"/>
          <w:color w:val="000000"/>
          <w:sz w:val="22"/>
          <w:szCs w:val="22"/>
          <w:lang w:eastAsia="en-US"/>
        </w:rPr>
      </w:pPr>
      <w:r>
        <w:rPr>
          <w:rFonts w:ascii="Tahoma" w:eastAsia="Times New Roman" w:hAnsi="Tahoma" w:cs="Tahoma"/>
          <w:b/>
          <w:bCs/>
          <w:color w:val="000000"/>
          <w:sz w:val="22"/>
          <w:szCs w:val="22"/>
          <w:lang w:eastAsia="en-US"/>
        </w:rPr>
        <w:t>6</w:t>
      </w:r>
      <w:r w:rsidR="00273309" w:rsidRPr="00273309">
        <w:rPr>
          <w:rFonts w:ascii="Tahoma" w:eastAsia="Times New Roman" w:hAnsi="Tahoma" w:cs="Tahoma"/>
          <w:color w:val="000000"/>
          <w:sz w:val="22"/>
          <w:szCs w:val="22"/>
          <w:lang w:eastAsia="en-US"/>
        </w:rPr>
        <w:t> </w:t>
      </w:r>
      <w:r>
        <w:rPr>
          <w:rFonts w:ascii="Tahoma" w:eastAsia="Times New Roman" w:hAnsi="Tahoma" w:cs="Tahoma"/>
          <w:color w:val="000000"/>
          <w:sz w:val="22"/>
          <w:szCs w:val="22"/>
          <w:lang w:eastAsia="en-US"/>
        </w:rPr>
        <w:tab/>
      </w:r>
      <w:r w:rsidR="00273309" w:rsidRPr="00273309">
        <w:rPr>
          <w:rFonts w:ascii="Tahoma" w:eastAsia="Times New Roman" w:hAnsi="Tahoma" w:cs="Tahoma"/>
          <w:b/>
          <w:bCs/>
          <w:color w:val="000000"/>
          <w:sz w:val="22"/>
          <w:szCs w:val="22"/>
          <w:u w:val="single"/>
          <w:lang w:eastAsia="en-US"/>
        </w:rPr>
        <w:t xml:space="preserve">Proposed Policy </w:t>
      </w:r>
      <w:proofErr w:type="gramStart"/>
      <w:r w:rsidR="00273309" w:rsidRPr="00273309">
        <w:rPr>
          <w:rFonts w:ascii="Tahoma" w:eastAsia="Times New Roman" w:hAnsi="Tahoma" w:cs="Tahoma"/>
          <w:b/>
          <w:bCs/>
          <w:color w:val="000000"/>
          <w:sz w:val="22"/>
          <w:szCs w:val="22"/>
          <w:u w:val="single"/>
          <w:lang w:eastAsia="en-US"/>
        </w:rPr>
        <w:t>DM43  Creation</w:t>
      </w:r>
      <w:proofErr w:type="gramEnd"/>
      <w:r w:rsidR="00273309" w:rsidRPr="00273309">
        <w:rPr>
          <w:rFonts w:ascii="Tahoma" w:eastAsia="Times New Roman" w:hAnsi="Tahoma" w:cs="Tahoma"/>
          <w:b/>
          <w:bCs/>
          <w:color w:val="000000"/>
          <w:sz w:val="22"/>
          <w:szCs w:val="22"/>
          <w:u w:val="single"/>
          <w:lang w:eastAsia="en-US"/>
        </w:rPr>
        <w:t xml:space="preserve"> of Gypsy/Traveller sites at Coombe Farm, off Oaks Road, Coombe Lodge Nurseries, off Conduit Lane and Pear Tree Farm and Pear Tree Cottage, Featherbed Lane</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Policy DM43, reference </w:t>
      </w:r>
      <w:r w:rsidR="00A56A22">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 xml:space="preserve">502 Coombe Farm reference </w:t>
      </w:r>
      <w:r w:rsidR="00A56A22">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 xml:space="preserve">661 Coombe Lodge Nurseries and reference </w:t>
      </w:r>
      <w:r w:rsidR="00A56A22">
        <w:rPr>
          <w:rFonts w:ascii="Tahoma" w:eastAsia="Times New Roman" w:hAnsi="Tahoma" w:cs="Tahoma"/>
          <w:color w:val="000000"/>
          <w:sz w:val="22"/>
          <w:szCs w:val="22"/>
          <w:lang w:eastAsia="en-US"/>
        </w:rPr>
        <w:t xml:space="preserve">Site </w:t>
      </w:r>
      <w:r w:rsidRPr="00273309">
        <w:rPr>
          <w:rFonts w:ascii="Tahoma" w:eastAsia="Times New Roman" w:hAnsi="Tahoma" w:cs="Tahoma"/>
          <w:color w:val="000000"/>
          <w:sz w:val="22"/>
          <w:szCs w:val="22"/>
          <w:lang w:eastAsia="en-US"/>
        </w:rPr>
        <w:t>755 Pear Tree Farm and Pear Tree Cottage.</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object to the use of any of these locations for the creation of Gypsy/Traveller sites.  All three locations are within the Green Belt and one borders a site of Nature Conservation Interest. Such development is in breach of Policy E of Planning Policy for Traveller Sites, which says that "Traveller Sites (temporary or permanent) in the Green Belt are inappropriate development".  All three sites are also a considerable distance from public services.  I believe that the proposal to create three new Gypsy/Traveller sites </w:t>
      </w:r>
      <w:proofErr w:type="gramStart"/>
      <w:r w:rsidRPr="00273309">
        <w:rPr>
          <w:rFonts w:ascii="Tahoma" w:eastAsia="Times New Roman" w:hAnsi="Tahoma" w:cs="Tahoma"/>
          <w:color w:val="000000"/>
          <w:sz w:val="22"/>
          <w:szCs w:val="22"/>
          <w:lang w:eastAsia="en-US"/>
        </w:rPr>
        <w:t>now,</w:t>
      </w:r>
      <w:proofErr w:type="gramEnd"/>
      <w:r w:rsidRPr="00273309">
        <w:rPr>
          <w:rFonts w:ascii="Tahoma" w:eastAsia="Times New Roman" w:hAnsi="Tahoma" w:cs="Tahoma"/>
          <w:color w:val="000000"/>
          <w:sz w:val="22"/>
          <w:szCs w:val="22"/>
          <w:lang w:eastAsia="en-US"/>
        </w:rPr>
        <w:t xml:space="preserve"> and 39 by 2036 is excessive and will have an adverse effect on the borough.   If the number of Gypsy/Traveller sites really needs to be increased by this amount, then a more appropriate location would be around the existing site at Purley Way.  The positioning of a Gypsy/Traveller site adjacent to the car park for Coombe Woods, between the Chateau Restaurant and the Hotel/restaurant, would </w:t>
      </w:r>
      <w:r w:rsidR="007215CE">
        <w:rPr>
          <w:rFonts w:ascii="Tahoma" w:eastAsia="Times New Roman" w:hAnsi="Tahoma" w:cs="Tahoma"/>
          <w:color w:val="000000"/>
          <w:sz w:val="22"/>
          <w:szCs w:val="22"/>
          <w:lang w:eastAsia="en-US"/>
        </w:rPr>
        <w:t xml:space="preserve">probably </w:t>
      </w:r>
      <w:r w:rsidRPr="00273309">
        <w:rPr>
          <w:rFonts w:ascii="Tahoma" w:eastAsia="Times New Roman" w:hAnsi="Tahoma" w:cs="Tahoma"/>
          <w:color w:val="000000"/>
          <w:sz w:val="22"/>
          <w:szCs w:val="22"/>
          <w:lang w:eastAsia="en-US"/>
        </w:rPr>
        <w:t>deter me from using any of these attractions.</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For the reasons given above:</w:t>
      </w:r>
    </w:p>
    <w:p w:rsidR="00273309" w:rsidRPr="00273309" w:rsidRDefault="00273309" w:rsidP="00273309">
      <w:pPr>
        <w:numPr>
          <w:ilvl w:val="0"/>
          <w:numId w:val="5"/>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do not think that the preferred approach is the most appropriate for Croydon to help us meet our Strategic Objectives set out in Section 3.</w:t>
      </w:r>
    </w:p>
    <w:p w:rsidR="00273309" w:rsidRPr="00273309" w:rsidRDefault="00273309" w:rsidP="00273309">
      <w:pPr>
        <w:numPr>
          <w:ilvl w:val="0"/>
          <w:numId w:val="5"/>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The preferred approach is deliverable, but not acceptable.</w:t>
      </w:r>
    </w:p>
    <w:p w:rsidR="00273309" w:rsidRPr="00273309" w:rsidRDefault="00273309" w:rsidP="00273309">
      <w:pPr>
        <w:numPr>
          <w:ilvl w:val="0"/>
          <w:numId w:val="5"/>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 xml:space="preserve">I do not think the preferred approach enables sustainable development, because it will compromise the ability of future generations to meet </w:t>
      </w:r>
      <w:proofErr w:type="gramStart"/>
      <w:r w:rsidRPr="00273309">
        <w:rPr>
          <w:rFonts w:ascii="Tahoma" w:eastAsia="Times New Roman" w:hAnsi="Tahoma" w:cs="Tahoma"/>
          <w:color w:val="000000"/>
          <w:sz w:val="22"/>
          <w:szCs w:val="22"/>
          <w:lang w:eastAsia="en-US"/>
        </w:rPr>
        <w:t>their own</w:t>
      </w:r>
      <w:proofErr w:type="gramEnd"/>
      <w:r w:rsidRPr="00273309">
        <w:rPr>
          <w:rFonts w:ascii="Tahoma" w:eastAsia="Times New Roman" w:hAnsi="Tahoma" w:cs="Tahoma"/>
          <w:color w:val="000000"/>
          <w:sz w:val="22"/>
          <w:szCs w:val="22"/>
          <w:lang w:eastAsia="en-US"/>
        </w:rPr>
        <w:t xml:space="preserve"> needs.</w:t>
      </w:r>
    </w:p>
    <w:p w:rsidR="00273309" w:rsidRPr="00273309" w:rsidRDefault="00273309" w:rsidP="00273309">
      <w:pPr>
        <w:numPr>
          <w:ilvl w:val="0"/>
          <w:numId w:val="5"/>
        </w:numPr>
        <w:spacing w:before="100" w:beforeAutospacing="1" w:after="100" w:afterAutospacing="1"/>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recommend that consultation documents of such importance are given much wider publicity.</w:t>
      </w:r>
    </w:p>
    <w:p w:rsidR="00273309" w:rsidRPr="00273309" w:rsidRDefault="00273309" w:rsidP="00273309">
      <w:pPr>
        <w:rPr>
          <w:rFonts w:ascii="Tahoma" w:eastAsia="Times New Roman" w:hAnsi="Tahoma" w:cs="Tahoma"/>
          <w:color w:val="000000"/>
          <w:sz w:val="22"/>
          <w:szCs w:val="22"/>
          <w:lang w:eastAsia="en-US"/>
        </w:rPr>
      </w:pPr>
      <w:r w:rsidRPr="00273309">
        <w:rPr>
          <w:rFonts w:ascii="Tahoma" w:eastAsia="Times New Roman" w:hAnsi="Tahoma" w:cs="Tahoma"/>
          <w:color w:val="000000"/>
          <w:sz w:val="22"/>
          <w:szCs w:val="22"/>
          <w:lang w:eastAsia="en-US"/>
        </w:rPr>
        <w:t>I have restricted my objections to those plans that primarily affect the area of Shirley in which I live, but the same objections apply to other proposals in other parts of the borough.</w:t>
      </w:r>
    </w:p>
    <w:p w:rsidR="00273309" w:rsidRPr="00273309" w:rsidRDefault="00273309" w:rsidP="00273309">
      <w:pPr>
        <w:rPr>
          <w:rFonts w:ascii="Tahoma" w:eastAsia="Times New Roman" w:hAnsi="Tahoma" w:cs="Tahoma"/>
          <w:color w:val="000000"/>
          <w:sz w:val="22"/>
          <w:szCs w:val="22"/>
          <w:lang w:eastAsia="en-US"/>
        </w:rPr>
      </w:pPr>
    </w:p>
    <w:p w:rsidR="00273309" w:rsidRPr="00273309" w:rsidRDefault="00273309" w:rsidP="00273309">
      <w:pPr>
        <w:rPr>
          <w:rFonts w:ascii="Tahoma" w:eastAsia="Times New Roman" w:hAnsi="Tahoma" w:cs="Tahoma"/>
          <w:b/>
          <w:color w:val="000000"/>
          <w:sz w:val="22"/>
          <w:szCs w:val="22"/>
          <w:lang w:eastAsia="en-US"/>
        </w:rPr>
      </w:pPr>
      <w:r w:rsidRPr="00273309">
        <w:rPr>
          <w:rFonts w:ascii="Tahoma" w:eastAsia="Times New Roman" w:hAnsi="Tahoma" w:cs="Tahoma"/>
          <w:b/>
          <w:color w:val="000000"/>
          <w:sz w:val="22"/>
          <w:szCs w:val="22"/>
          <w:lang w:eastAsia="en-US"/>
        </w:rPr>
        <w:t>Please confirm your receipt and acceptance of my objections.</w:t>
      </w:r>
    </w:p>
    <w:p w:rsidR="00273309" w:rsidRDefault="00273309" w:rsidP="00273309">
      <w:pPr>
        <w:rPr>
          <w:rFonts w:eastAsia="Times New Roman"/>
          <w:color w:val="000000"/>
          <w:szCs w:val="20"/>
          <w:lang w:eastAsia="en-US"/>
        </w:rPr>
      </w:pPr>
      <w:r w:rsidRPr="00273309">
        <w:rPr>
          <w:rFonts w:ascii="Tahoma" w:eastAsia="Times New Roman" w:hAnsi="Tahoma" w:cs="Tahoma"/>
          <w:color w:val="000000"/>
          <w:sz w:val="22"/>
          <w:szCs w:val="22"/>
          <w:lang w:eastAsia="en-US"/>
        </w:rPr>
        <w:br/>
      </w:r>
      <w:r w:rsidR="00A56A22">
        <w:rPr>
          <w:rFonts w:eastAsia="Times New Roman"/>
          <w:color w:val="000000"/>
          <w:szCs w:val="20"/>
          <w:lang w:eastAsia="en-US"/>
        </w:rPr>
        <w:t>Yours sincerely</w:t>
      </w:r>
    </w:p>
    <w:p w:rsidR="00A56A22" w:rsidRDefault="00A56A22" w:rsidP="00273309">
      <w:pPr>
        <w:rPr>
          <w:rFonts w:eastAsia="Times New Roman"/>
          <w:color w:val="000000"/>
          <w:szCs w:val="20"/>
          <w:lang w:eastAsia="en-US"/>
        </w:rPr>
      </w:pPr>
    </w:p>
    <w:p w:rsidR="00273309" w:rsidRDefault="00273309">
      <w:r w:rsidRPr="00273309">
        <w:rPr>
          <w:rFonts w:eastAsia="Times New Roman"/>
          <w:color w:val="000000"/>
          <w:szCs w:val="20"/>
          <w:lang w:eastAsia="en-US"/>
        </w:rPr>
        <w:br/>
      </w:r>
      <w:r w:rsidR="00BD5E48">
        <w:t>Name:</w:t>
      </w:r>
    </w:p>
    <w:p w:rsidR="00BD5E48" w:rsidRDefault="00BD5E48"/>
    <w:p w:rsidR="00BD5E48" w:rsidRDefault="00BD5E48">
      <w:bookmarkStart w:id="0" w:name="_GoBack"/>
      <w:bookmarkEnd w:id="0"/>
      <w:r>
        <w:t>Signature:</w:t>
      </w:r>
    </w:p>
    <w:sectPr w:rsidR="00BD5E48" w:rsidSect="003657C5">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F0B56"/>
    <w:multiLevelType w:val="hybridMultilevel"/>
    <w:tmpl w:val="3176F856"/>
    <w:lvl w:ilvl="0" w:tplc="8F983106">
      <w:start w:val="1"/>
      <w:numFmt w:val="decimal"/>
      <w:lvlText w:val="%1."/>
      <w:lvlJc w:val="left"/>
      <w:pPr>
        <w:tabs>
          <w:tab w:val="num" w:pos="720"/>
        </w:tabs>
        <w:ind w:left="720" w:hanging="360"/>
      </w:pPr>
    </w:lvl>
    <w:lvl w:ilvl="1" w:tplc="3ACE7A3A" w:tentative="1">
      <w:start w:val="1"/>
      <w:numFmt w:val="decimal"/>
      <w:lvlText w:val="%2."/>
      <w:lvlJc w:val="left"/>
      <w:pPr>
        <w:tabs>
          <w:tab w:val="num" w:pos="1440"/>
        </w:tabs>
        <w:ind w:left="1440" w:hanging="360"/>
      </w:pPr>
    </w:lvl>
    <w:lvl w:ilvl="2" w:tplc="67708F12" w:tentative="1">
      <w:start w:val="1"/>
      <w:numFmt w:val="decimal"/>
      <w:lvlText w:val="%3."/>
      <w:lvlJc w:val="left"/>
      <w:pPr>
        <w:tabs>
          <w:tab w:val="num" w:pos="2160"/>
        </w:tabs>
        <w:ind w:left="2160" w:hanging="360"/>
      </w:pPr>
    </w:lvl>
    <w:lvl w:ilvl="3" w:tplc="19645C74" w:tentative="1">
      <w:start w:val="1"/>
      <w:numFmt w:val="decimal"/>
      <w:lvlText w:val="%4."/>
      <w:lvlJc w:val="left"/>
      <w:pPr>
        <w:tabs>
          <w:tab w:val="num" w:pos="2880"/>
        </w:tabs>
        <w:ind w:left="2880" w:hanging="360"/>
      </w:pPr>
    </w:lvl>
    <w:lvl w:ilvl="4" w:tplc="50CCFD96" w:tentative="1">
      <w:start w:val="1"/>
      <w:numFmt w:val="decimal"/>
      <w:lvlText w:val="%5."/>
      <w:lvlJc w:val="left"/>
      <w:pPr>
        <w:tabs>
          <w:tab w:val="num" w:pos="3600"/>
        </w:tabs>
        <w:ind w:left="3600" w:hanging="360"/>
      </w:pPr>
    </w:lvl>
    <w:lvl w:ilvl="5" w:tplc="15CA4EEA" w:tentative="1">
      <w:start w:val="1"/>
      <w:numFmt w:val="decimal"/>
      <w:lvlText w:val="%6."/>
      <w:lvlJc w:val="left"/>
      <w:pPr>
        <w:tabs>
          <w:tab w:val="num" w:pos="4320"/>
        </w:tabs>
        <w:ind w:left="4320" w:hanging="360"/>
      </w:pPr>
    </w:lvl>
    <w:lvl w:ilvl="6" w:tplc="E67A659C" w:tentative="1">
      <w:start w:val="1"/>
      <w:numFmt w:val="decimal"/>
      <w:lvlText w:val="%7."/>
      <w:lvlJc w:val="left"/>
      <w:pPr>
        <w:tabs>
          <w:tab w:val="num" w:pos="5040"/>
        </w:tabs>
        <w:ind w:left="5040" w:hanging="360"/>
      </w:pPr>
    </w:lvl>
    <w:lvl w:ilvl="7" w:tplc="8D8A835A" w:tentative="1">
      <w:start w:val="1"/>
      <w:numFmt w:val="decimal"/>
      <w:lvlText w:val="%8."/>
      <w:lvlJc w:val="left"/>
      <w:pPr>
        <w:tabs>
          <w:tab w:val="num" w:pos="5760"/>
        </w:tabs>
        <w:ind w:left="5760" w:hanging="360"/>
      </w:pPr>
    </w:lvl>
    <w:lvl w:ilvl="8" w:tplc="90F20F40" w:tentative="1">
      <w:start w:val="1"/>
      <w:numFmt w:val="decimal"/>
      <w:lvlText w:val="%9."/>
      <w:lvlJc w:val="left"/>
      <w:pPr>
        <w:tabs>
          <w:tab w:val="num" w:pos="6480"/>
        </w:tabs>
        <w:ind w:left="6480" w:hanging="360"/>
      </w:pPr>
    </w:lvl>
  </w:abstractNum>
  <w:abstractNum w:abstractNumId="1">
    <w:nsid w:val="03CC6568"/>
    <w:multiLevelType w:val="hybridMultilevel"/>
    <w:tmpl w:val="1B50244E"/>
    <w:lvl w:ilvl="0" w:tplc="0FCA3DBA">
      <w:start w:val="1"/>
      <w:numFmt w:val="decimal"/>
      <w:lvlText w:val="%1."/>
      <w:lvlJc w:val="left"/>
      <w:pPr>
        <w:tabs>
          <w:tab w:val="num" w:pos="720"/>
        </w:tabs>
        <w:ind w:left="720" w:hanging="360"/>
      </w:pPr>
    </w:lvl>
    <w:lvl w:ilvl="1" w:tplc="7CD0A2F0" w:tentative="1">
      <w:start w:val="1"/>
      <w:numFmt w:val="decimal"/>
      <w:lvlText w:val="%2."/>
      <w:lvlJc w:val="left"/>
      <w:pPr>
        <w:tabs>
          <w:tab w:val="num" w:pos="1440"/>
        </w:tabs>
        <w:ind w:left="1440" w:hanging="360"/>
      </w:pPr>
    </w:lvl>
    <w:lvl w:ilvl="2" w:tplc="3EBAD952" w:tentative="1">
      <w:start w:val="1"/>
      <w:numFmt w:val="decimal"/>
      <w:lvlText w:val="%3."/>
      <w:lvlJc w:val="left"/>
      <w:pPr>
        <w:tabs>
          <w:tab w:val="num" w:pos="2160"/>
        </w:tabs>
        <w:ind w:left="2160" w:hanging="360"/>
      </w:pPr>
    </w:lvl>
    <w:lvl w:ilvl="3" w:tplc="B00A1788" w:tentative="1">
      <w:start w:val="1"/>
      <w:numFmt w:val="decimal"/>
      <w:lvlText w:val="%4."/>
      <w:lvlJc w:val="left"/>
      <w:pPr>
        <w:tabs>
          <w:tab w:val="num" w:pos="2880"/>
        </w:tabs>
        <w:ind w:left="2880" w:hanging="360"/>
      </w:pPr>
    </w:lvl>
    <w:lvl w:ilvl="4" w:tplc="04F6C8AA" w:tentative="1">
      <w:start w:val="1"/>
      <w:numFmt w:val="decimal"/>
      <w:lvlText w:val="%5."/>
      <w:lvlJc w:val="left"/>
      <w:pPr>
        <w:tabs>
          <w:tab w:val="num" w:pos="3600"/>
        </w:tabs>
        <w:ind w:left="3600" w:hanging="360"/>
      </w:pPr>
    </w:lvl>
    <w:lvl w:ilvl="5" w:tplc="C8A6030A" w:tentative="1">
      <w:start w:val="1"/>
      <w:numFmt w:val="decimal"/>
      <w:lvlText w:val="%6."/>
      <w:lvlJc w:val="left"/>
      <w:pPr>
        <w:tabs>
          <w:tab w:val="num" w:pos="4320"/>
        </w:tabs>
        <w:ind w:left="4320" w:hanging="360"/>
      </w:pPr>
    </w:lvl>
    <w:lvl w:ilvl="6" w:tplc="0D200158" w:tentative="1">
      <w:start w:val="1"/>
      <w:numFmt w:val="decimal"/>
      <w:lvlText w:val="%7."/>
      <w:lvlJc w:val="left"/>
      <w:pPr>
        <w:tabs>
          <w:tab w:val="num" w:pos="5040"/>
        </w:tabs>
        <w:ind w:left="5040" w:hanging="360"/>
      </w:pPr>
    </w:lvl>
    <w:lvl w:ilvl="7" w:tplc="CC56AC72" w:tentative="1">
      <w:start w:val="1"/>
      <w:numFmt w:val="decimal"/>
      <w:lvlText w:val="%8."/>
      <w:lvlJc w:val="left"/>
      <w:pPr>
        <w:tabs>
          <w:tab w:val="num" w:pos="5760"/>
        </w:tabs>
        <w:ind w:left="5760" w:hanging="360"/>
      </w:pPr>
    </w:lvl>
    <w:lvl w:ilvl="8" w:tplc="3D58C39E" w:tentative="1">
      <w:start w:val="1"/>
      <w:numFmt w:val="decimal"/>
      <w:lvlText w:val="%9."/>
      <w:lvlJc w:val="left"/>
      <w:pPr>
        <w:tabs>
          <w:tab w:val="num" w:pos="6480"/>
        </w:tabs>
        <w:ind w:left="6480" w:hanging="360"/>
      </w:pPr>
    </w:lvl>
  </w:abstractNum>
  <w:abstractNum w:abstractNumId="2">
    <w:nsid w:val="1BE550A0"/>
    <w:multiLevelType w:val="hybridMultilevel"/>
    <w:tmpl w:val="7E843484"/>
    <w:lvl w:ilvl="0" w:tplc="24342BCA">
      <w:start w:val="1"/>
      <w:numFmt w:val="decimal"/>
      <w:lvlText w:val="%1."/>
      <w:lvlJc w:val="left"/>
      <w:pPr>
        <w:tabs>
          <w:tab w:val="num" w:pos="720"/>
        </w:tabs>
        <w:ind w:left="720" w:hanging="360"/>
      </w:pPr>
    </w:lvl>
    <w:lvl w:ilvl="1" w:tplc="6EB0D042" w:tentative="1">
      <w:start w:val="1"/>
      <w:numFmt w:val="decimal"/>
      <w:lvlText w:val="%2."/>
      <w:lvlJc w:val="left"/>
      <w:pPr>
        <w:tabs>
          <w:tab w:val="num" w:pos="1440"/>
        </w:tabs>
        <w:ind w:left="1440" w:hanging="360"/>
      </w:pPr>
    </w:lvl>
    <w:lvl w:ilvl="2" w:tplc="FAAC576C" w:tentative="1">
      <w:start w:val="1"/>
      <w:numFmt w:val="decimal"/>
      <w:lvlText w:val="%3."/>
      <w:lvlJc w:val="left"/>
      <w:pPr>
        <w:tabs>
          <w:tab w:val="num" w:pos="2160"/>
        </w:tabs>
        <w:ind w:left="2160" w:hanging="360"/>
      </w:pPr>
    </w:lvl>
    <w:lvl w:ilvl="3" w:tplc="33802766" w:tentative="1">
      <w:start w:val="1"/>
      <w:numFmt w:val="decimal"/>
      <w:lvlText w:val="%4."/>
      <w:lvlJc w:val="left"/>
      <w:pPr>
        <w:tabs>
          <w:tab w:val="num" w:pos="2880"/>
        </w:tabs>
        <w:ind w:left="2880" w:hanging="360"/>
      </w:pPr>
    </w:lvl>
    <w:lvl w:ilvl="4" w:tplc="E1B8E384" w:tentative="1">
      <w:start w:val="1"/>
      <w:numFmt w:val="decimal"/>
      <w:lvlText w:val="%5."/>
      <w:lvlJc w:val="left"/>
      <w:pPr>
        <w:tabs>
          <w:tab w:val="num" w:pos="3600"/>
        </w:tabs>
        <w:ind w:left="3600" w:hanging="360"/>
      </w:pPr>
    </w:lvl>
    <w:lvl w:ilvl="5" w:tplc="C02CDECA" w:tentative="1">
      <w:start w:val="1"/>
      <w:numFmt w:val="decimal"/>
      <w:lvlText w:val="%6."/>
      <w:lvlJc w:val="left"/>
      <w:pPr>
        <w:tabs>
          <w:tab w:val="num" w:pos="4320"/>
        </w:tabs>
        <w:ind w:left="4320" w:hanging="360"/>
      </w:pPr>
    </w:lvl>
    <w:lvl w:ilvl="6" w:tplc="AF9C6D96" w:tentative="1">
      <w:start w:val="1"/>
      <w:numFmt w:val="decimal"/>
      <w:lvlText w:val="%7."/>
      <w:lvlJc w:val="left"/>
      <w:pPr>
        <w:tabs>
          <w:tab w:val="num" w:pos="5040"/>
        </w:tabs>
        <w:ind w:left="5040" w:hanging="360"/>
      </w:pPr>
    </w:lvl>
    <w:lvl w:ilvl="7" w:tplc="B576F648" w:tentative="1">
      <w:start w:val="1"/>
      <w:numFmt w:val="decimal"/>
      <w:lvlText w:val="%8."/>
      <w:lvlJc w:val="left"/>
      <w:pPr>
        <w:tabs>
          <w:tab w:val="num" w:pos="5760"/>
        </w:tabs>
        <w:ind w:left="5760" w:hanging="360"/>
      </w:pPr>
    </w:lvl>
    <w:lvl w:ilvl="8" w:tplc="B3B46CDE" w:tentative="1">
      <w:start w:val="1"/>
      <w:numFmt w:val="decimal"/>
      <w:lvlText w:val="%9."/>
      <w:lvlJc w:val="left"/>
      <w:pPr>
        <w:tabs>
          <w:tab w:val="num" w:pos="6480"/>
        </w:tabs>
        <w:ind w:left="6480" w:hanging="360"/>
      </w:pPr>
    </w:lvl>
  </w:abstractNum>
  <w:abstractNum w:abstractNumId="3">
    <w:nsid w:val="23552372"/>
    <w:multiLevelType w:val="hybridMultilevel"/>
    <w:tmpl w:val="215C0FC8"/>
    <w:lvl w:ilvl="0" w:tplc="EFA8A6DC">
      <w:start w:val="1"/>
      <w:numFmt w:val="decimal"/>
      <w:lvlText w:val="%1."/>
      <w:lvlJc w:val="left"/>
      <w:pPr>
        <w:tabs>
          <w:tab w:val="num" w:pos="720"/>
        </w:tabs>
        <w:ind w:left="720" w:hanging="360"/>
      </w:pPr>
    </w:lvl>
    <w:lvl w:ilvl="1" w:tplc="DB28388C" w:tentative="1">
      <w:start w:val="1"/>
      <w:numFmt w:val="decimal"/>
      <w:lvlText w:val="%2."/>
      <w:lvlJc w:val="left"/>
      <w:pPr>
        <w:tabs>
          <w:tab w:val="num" w:pos="1440"/>
        </w:tabs>
        <w:ind w:left="1440" w:hanging="360"/>
      </w:pPr>
    </w:lvl>
    <w:lvl w:ilvl="2" w:tplc="9F0AC33E" w:tentative="1">
      <w:start w:val="1"/>
      <w:numFmt w:val="decimal"/>
      <w:lvlText w:val="%3."/>
      <w:lvlJc w:val="left"/>
      <w:pPr>
        <w:tabs>
          <w:tab w:val="num" w:pos="2160"/>
        </w:tabs>
        <w:ind w:left="2160" w:hanging="360"/>
      </w:pPr>
    </w:lvl>
    <w:lvl w:ilvl="3" w:tplc="9300C9F6" w:tentative="1">
      <w:start w:val="1"/>
      <w:numFmt w:val="decimal"/>
      <w:lvlText w:val="%4."/>
      <w:lvlJc w:val="left"/>
      <w:pPr>
        <w:tabs>
          <w:tab w:val="num" w:pos="2880"/>
        </w:tabs>
        <w:ind w:left="2880" w:hanging="360"/>
      </w:pPr>
    </w:lvl>
    <w:lvl w:ilvl="4" w:tplc="7B6075D6" w:tentative="1">
      <w:start w:val="1"/>
      <w:numFmt w:val="decimal"/>
      <w:lvlText w:val="%5."/>
      <w:lvlJc w:val="left"/>
      <w:pPr>
        <w:tabs>
          <w:tab w:val="num" w:pos="3600"/>
        </w:tabs>
        <w:ind w:left="3600" w:hanging="360"/>
      </w:pPr>
    </w:lvl>
    <w:lvl w:ilvl="5" w:tplc="EDB2871A" w:tentative="1">
      <w:start w:val="1"/>
      <w:numFmt w:val="decimal"/>
      <w:lvlText w:val="%6."/>
      <w:lvlJc w:val="left"/>
      <w:pPr>
        <w:tabs>
          <w:tab w:val="num" w:pos="4320"/>
        </w:tabs>
        <w:ind w:left="4320" w:hanging="360"/>
      </w:pPr>
    </w:lvl>
    <w:lvl w:ilvl="6" w:tplc="5CE64AA6" w:tentative="1">
      <w:start w:val="1"/>
      <w:numFmt w:val="decimal"/>
      <w:lvlText w:val="%7."/>
      <w:lvlJc w:val="left"/>
      <w:pPr>
        <w:tabs>
          <w:tab w:val="num" w:pos="5040"/>
        </w:tabs>
        <w:ind w:left="5040" w:hanging="360"/>
      </w:pPr>
    </w:lvl>
    <w:lvl w:ilvl="7" w:tplc="592A1726" w:tentative="1">
      <w:start w:val="1"/>
      <w:numFmt w:val="decimal"/>
      <w:lvlText w:val="%8."/>
      <w:lvlJc w:val="left"/>
      <w:pPr>
        <w:tabs>
          <w:tab w:val="num" w:pos="5760"/>
        </w:tabs>
        <w:ind w:left="5760" w:hanging="360"/>
      </w:pPr>
    </w:lvl>
    <w:lvl w:ilvl="8" w:tplc="8C0AEAFC" w:tentative="1">
      <w:start w:val="1"/>
      <w:numFmt w:val="decimal"/>
      <w:lvlText w:val="%9."/>
      <w:lvlJc w:val="left"/>
      <w:pPr>
        <w:tabs>
          <w:tab w:val="num" w:pos="6480"/>
        </w:tabs>
        <w:ind w:left="6480" w:hanging="360"/>
      </w:pPr>
    </w:lvl>
  </w:abstractNum>
  <w:abstractNum w:abstractNumId="4">
    <w:nsid w:val="434F7DEF"/>
    <w:multiLevelType w:val="hybridMultilevel"/>
    <w:tmpl w:val="3910912C"/>
    <w:lvl w:ilvl="0" w:tplc="EEE2E5FC">
      <w:start w:val="1"/>
      <w:numFmt w:val="decimal"/>
      <w:lvlText w:val="%1."/>
      <w:lvlJc w:val="left"/>
      <w:pPr>
        <w:tabs>
          <w:tab w:val="num" w:pos="720"/>
        </w:tabs>
        <w:ind w:left="720" w:hanging="360"/>
      </w:pPr>
    </w:lvl>
    <w:lvl w:ilvl="1" w:tplc="751AF83C" w:tentative="1">
      <w:start w:val="1"/>
      <w:numFmt w:val="decimal"/>
      <w:lvlText w:val="%2."/>
      <w:lvlJc w:val="left"/>
      <w:pPr>
        <w:tabs>
          <w:tab w:val="num" w:pos="1440"/>
        </w:tabs>
        <w:ind w:left="1440" w:hanging="360"/>
      </w:pPr>
    </w:lvl>
    <w:lvl w:ilvl="2" w:tplc="C3F87AC2" w:tentative="1">
      <w:start w:val="1"/>
      <w:numFmt w:val="decimal"/>
      <w:lvlText w:val="%3."/>
      <w:lvlJc w:val="left"/>
      <w:pPr>
        <w:tabs>
          <w:tab w:val="num" w:pos="2160"/>
        </w:tabs>
        <w:ind w:left="2160" w:hanging="360"/>
      </w:pPr>
    </w:lvl>
    <w:lvl w:ilvl="3" w:tplc="F27C1358" w:tentative="1">
      <w:start w:val="1"/>
      <w:numFmt w:val="decimal"/>
      <w:lvlText w:val="%4."/>
      <w:lvlJc w:val="left"/>
      <w:pPr>
        <w:tabs>
          <w:tab w:val="num" w:pos="2880"/>
        </w:tabs>
        <w:ind w:left="2880" w:hanging="360"/>
      </w:pPr>
    </w:lvl>
    <w:lvl w:ilvl="4" w:tplc="5DEA42A4" w:tentative="1">
      <w:start w:val="1"/>
      <w:numFmt w:val="decimal"/>
      <w:lvlText w:val="%5."/>
      <w:lvlJc w:val="left"/>
      <w:pPr>
        <w:tabs>
          <w:tab w:val="num" w:pos="3600"/>
        </w:tabs>
        <w:ind w:left="3600" w:hanging="360"/>
      </w:pPr>
    </w:lvl>
    <w:lvl w:ilvl="5" w:tplc="E8848CBE" w:tentative="1">
      <w:start w:val="1"/>
      <w:numFmt w:val="decimal"/>
      <w:lvlText w:val="%6."/>
      <w:lvlJc w:val="left"/>
      <w:pPr>
        <w:tabs>
          <w:tab w:val="num" w:pos="4320"/>
        </w:tabs>
        <w:ind w:left="4320" w:hanging="360"/>
      </w:pPr>
    </w:lvl>
    <w:lvl w:ilvl="6" w:tplc="D45C8C7C" w:tentative="1">
      <w:start w:val="1"/>
      <w:numFmt w:val="decimal"/>
      <w:lvlText w:val="%7."/>
      <w:lvlJc w:val="left"/>
      <w:pPr>
        <w:tabs>
          <w:tab w:val="num" w:pos="5040"/>
        </w:tabs>
        <w:ind w:left="5040" w:hanging="360"/>
      </w:pPr>
    </w:lvl>
    <w:lvl w:ilvl="7" w:tplc="D178872C" w:tentative="1">
      <w:start w:val="1"/>
      <w:numFmt w:val="decimal"/>
      <w:lvlText w:val="%8."/>
      <w:lvlJc w:val="left"/>
      <w:pPr>
        <w:tabs>
          <w:tab w:val="num" w:pos="5760"/>
        </w:tabs>
        <w:ind w:left="5760" w:hanging="360"/>
      </w:pPr>
    </w:lvl>
    <w:lvl w:ilvl="8" w:tplc="162602F8" w:tentative="1">
      <w:start w:val="1"/>
      <w:numFmt w:val="decimal"/>
      <w:lvlText w:val="%9."/>
      <w:lvlJc w:val="left"/>
      <w:pPr>
        <w:tabs>
          <w:tab w:val="num" w:pos="6480"/>
        </w:tabs>
        <w:ind w:left="6480" w:hanging="360"/>
      </w:pPr>
    </w:lvl>
  </w:abstractNum>
  <w:abstractNum w:abstractNumId="5">
    <w:nsid w:val="47D32CB6"/>
    <w:multiLevelType w:val="hybridMultilevel"/>
    <w:tmpl w:val="0CC060AA"/>
    <w:lvl w:ilvl="0" w:tplc="96A4C030">
      <w:start w:val="1"/>
      <w:numFmt w:val="decimal"/>
      <w:lvlText w:val="%1."/>
      <w:lvlJc w:val="left"/>
      <w:pPr>
        <w:tabs>
          <w:tab w:val="num" w:pos="720"/>
        </w:tabs>
        <w:ind w:left="720" w:hanging="360"/>
      </w:pPr>
      <w:rPr>
        <w:rFonts w:hint="default"/>
      </w:rPr>
    </w:lvl>
    <w:lvl w:ilvl="1" w:tplc="7CD0A2F0" w:tentative="1">
      <w:start w:val="1"/>
      <w:numFmt w:val="decimal"/>
      <w:lvlText w:val="%2."/>
      <w:lvlJc w:val="left"/>
      <w:pPr>
        <w:tabs>
          <w:tab w:val="num" w:pos="1440"/>
        </w:tabs>
        <w:ind w:left="1440" w:hanging="360"/>
      </w:pPr>
    </w:lvl>
    <w:lvl w:ilvl="2" w:tplc="3EBAD952" w:tentative="1">
      <w:start w:val="1"/>
      <w:numFmt w:val="decimal"/>
      <w:lvlText w:val="%3."/>
      <w:lvlJc w:val="left"/>
      <w:pPr>
        <w:tabs>
          <w:tab w:val="num" w:pos="2160"/>
        </w:tabs>
        <w:ind w:left="2160" w:hanging="360"/>
      </w:pPr>
    </w:lvl>
    <w:lvl w:ilvl="3" w:tplc="B00A1788" w:tentative="1">
      <w:start w:val="1"/>
      <w:numFmt w:val="decimal"/>
      <w:lvlText w:val="%4."/>
      <w:lvlJc w:val="left"/>
      <w:pPr>
        <w:tabs>
          <w:tab w:val="num" w:pos="2880"/>
        </w:tabs>
        <w:ind w:left="2880" w:hanging="360"/>
      </w:pPr>
    </w:lvl>
    <w:lvl w:ilvl="4" w:tplc="04F6C8AA" w:tentative="1">
      <w:start w:val="1"/>
      <w:numFmt w:val="decimal"/>
      <w:lvlText w:val="%5."/>
      <w:lvlJc w:val="left"/>
      <w:pPr>
        <w:tabs>
          <w:tab w:val="num" w:pos="3600"/>
        </w:tabs>
        <w:ind w:left="3600" w:hanging="360"/>
      </w:pPr>
    </w:lvl>
    <w:lvl w:ilvl="5" w:tplc="C8A6030A" w:tentative="1">
      <w:start w:val="1"/>
      <w:numFmt w:val="decimal"/>
      <w:lvlText w:val="%6."/>
      <w:lvlJc w:val="left"/>
      <w:pPr>
        <w:tabs>
          <w:tab w:val="num" w:pos="4320"/>
        </w:tabs>
        <w:ind w:left="4320" w:hanging="360"/>
      </w:pPr>
    </w:lvl>
    <w:lvl w:ilvl="6" w:tplc="0D200158" w:tentative="1">
      <w:start w:val="1"/>
      <w:numFmt w:val="decimal"/>
      <w:lvlText w:val="%7."/>
      <w:lvlJc w:val="left"/>
      <w:pPr>
        <w:tabs>
          <w:tab w:val="num" w:pos="5040"/>
        </w:tabs>
        <w:ind w:left="5040" w:hanging="360"/>
      </w:pPr>
    </w:lvl>
    <w:lvl w:ilvl="7" w:tplc="CC56AC72" w:tentative="1">
      <w:start w:val="1"/>
      <w:numFmt w:val="decimal"/>
      <w:lvlText w:val="%8."/>
      <w:lvlJc w:val="left"/>
      <w:pPr>
        <w:tabs>
          <w:tab w:val="num" w:pos="5760"/>
        </w:tabs>
        <w:ind w:left="5760" w:hanging="360"/>
      </w:pPr>
    </w:lvl>
    <w:lvl w:ilvl="8" w:tplc="3D58C39E"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E35"/>
    <w:rsid w:val="00112995"/>
    <w:rsid w:val="001F4F9A"/>
    <w:rsid w:val="00226095"/>
    <w:rsid w:val="00273309"/>
    <w:rsid w:val="003657C5"/>
    <w:rsid w:val="00484B1C"/>
    <w:rsid w:val="00603FDC"/>
    <w:rsid w:val="006A6C19"/>
    <w:rsid w:val="006E41AC"/>
    <w:rsid w:val="007215CE"/>
    <w:rsid w:val="00785769"/>
    <w:rsid w:val="007A4C88"/>
    <w:rsid w:val="00920941"/>
    <w:rsid w:val="00A56A22"/>
    <w:rsid w:val="00AA79E1"/>
    <w:rsid w:val="00AB5288"/>
    <w:rsid w:val="00BD5E48"/>
    <w:rsid w:val="00E52E35"/>
    <w:rsid w:val="00EA7672"/>
    <w:rsid w:val="00F4611D"/>
    <w:rsid w:val="00FE6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5"/>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5"/>
    <w:pPr>
      <w:spacing w:after="0" w:line="240" w:lineRule="auto"/>
    </w:pPr>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2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7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df@croyd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DE89F-B7F4-49BF-868F-C68AC6B0C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Ritson</dc:creator>
  <cp:lastModifiedBy>Derek Ritson</cp:lastModifiedBy>
  <cp:revision>3</cp:revision>
  <dcterms:created xsi:type="dcterms:W3CDTF">2015-12-06T12:21:00Z</dcterms:created>
  <dcterms:modified xsi:type="dcterms:W3CDTF">2015-12-06T14:32:00Z</dcterms:modified>
</cp:coreProperties>
</file>